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6086FA9E"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360EF"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952426">
        <w:rPr>
          <w:rFonts w:ascii="Times New Roman" w:eastAsia="ＭＳ 明朝" w:hAnsi="Times New Roman" w:cs="Times New Roman" w:hint="eastAsia"/>
          <w:b/>
          <w:bCs/>
          <w:noProof/>
          <w:sz w:val="24"/>
          <w:szCs w:val="24"/>
          <w:lang w:val="en-GB" w:eastAsia="ja-JP"/>
        </w:rPr>
        <w:t>8</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45374E">
        <w:rPr>
          <w:rFonts w:ascii="Times New Roman" w:eastAsia="ＭＳ 明朝" w:hAnsi="Times New Roman" w:cs="Times New Roman"/>
          <w:b/>
          <w:bCs/>
          <w:noProof/>
          <w:sz w:val="24"/>
          <w:szCs w:val="24"/>
          <w:lang w:val="en-GB" w:eastAsia="ja-JP"/>
        </w:rPr>
        <w:t>02113</w:t>
      </w:r>
    </w:p>
    <w:p w14:paraId="50789A01" w14:textId="47DA5DE9"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952426">
        <w:rPr>
          <w:rFonts w:ascii="Times New Roman" w:eastAsia="ＭＳ 明朝" w:hAnsi="Times New Roman" w:cs="Arial"/>
          <w:b/>
          <w:bCs/>
          <w:noProof/>
          <w:sz w:val="24"/>
          <w:szCs w:val="24"/>
          <w:lang w:val="en-GB" w:eastAsia="ja-JP"/>
        </w:rPr>
        <w:t>February</w:t>
      </w:r>
      <w:r w:rsidR="00AF203E">
        <w:rPr>
          <w:rFonts w:ascii="Times New Roman" w:eastAsia="ＭＳ 明朝" w:hAnsi="Times New Roman" w:cs="Arial"/>
          <w:b/>
          <w:bCs/>
          <w:noProof/>
          <w:sz w:val="24"/>
          <w:szCs w:val="24"/>
          <w:lang w:val="en-GB" w:eastAsia="ja-JP"/>
        </w:rPr>
        <w:t xml:space="preserve"> </w:t>
      </w:r>
      <w:r w:rsidR="008A1434">
        <w:rPr>
          <w:rFonts w:ascii="Times New Roman" w:eastAsia="ＭＳ 明朝" w:hAnsi="Times New Roman" w:cs="Arial" w:hint="eastAsia"/>
          <w:b/>
          <w:bCs/>
          <w:noProof/>
          <w:sz w:val="24"/>
          <w:szCs w:val="24"/>
          <w:lang w:val="en-GB" w:eastAsia="ja-JP"/>
        </w:rPr>
        <w:t>21</w:t>
      </w:r>
      <w:r w:rsidR="008A1434" w:rsidRPr="008A1434">
        <w:rPr>
          <w:rFonts w:ascii="Times New Roman" w:eastAsia="ＭＳ 明朝" w:hAnsi="Times New Roman" w:cs="Arial"/>
          <w:b/>
          <w:bCs/>
          <w:noProof/>
          <w:sz w:val="24"/>
          <w:szCs w:val="24"/>
          <w:vertAlign w:val="superscript"/>
          <w:lang w:val="en-GB" w:eastAsia="ja-JP"/>
        </w:rPr>
        <w:t>st</w:t>
      </w:r>
      <w:r w:rsidR="008A1434">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8A1434">
        <w:rPr>
          <w:rFonts w:ascii="Times New Roman" w:eastAsia="ＭＳ 明朝" w:hAnsi="Times New Roman" w:cs="Arial"/>
          <w:b/>
          <w:bCs/>
          <w:noProof/>
          <w:sz w:val="24"/>
          <w:szCs w:val="24"/>
          <w:lang w:val="en-GB" w:eastAsia="ja-JP"/>
        </w:rPr>
        <w:t>March 3</w:t>
      </w:r>
      <w:r w:rsidR="008A1434" w:rsidRPr="008A1434">
        <w:rPr>
          <w:rFonts w:ascii="Times New Roman" w:eastAsia="ＭＳ 明朝" w:hAnsi="Times New Roman" w:cs="Arial"/>
          <w:b/>
          <w:bCs/>
          <w:noProof/>
          <w:sz w:val="24"/>
          <w:szCs w:val="24"/>
          <w:vertAlign w:val="superscript"/>
          <w:lang w:val="en-GB" w:eastAsia="ja-JP"/>
        </w:rPr>
        <w:t>rd</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952426">
        <w:rPr>
          <w:rFonts w:ascii="Times New Roman" w:eastAsia="ＭＳ 明朝"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02AD991E"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395F6E">
        <w:rPr>
          <w:rFonts w:ascii="Times New Roman" w:eastAsia="ＭＳ 明朝" w:hAnsi="Times New Roman" w:cs="Arial"/>
          <w:b/>
          <w:noProof/>
          <w:sz w:val="24"/>
          <w:lang w:eastAsia="ja-JP"/>
        </w:rPr>
        <w:t>Clarification on PDCCH monitoring for Case 1-2</w:t>
      </w:r>
    </w:p>
    <w:bookmarkEnd w:id="1"/>
    <w:bookmarkEnd w:id="2"/>
    <w:bookmarkEnd w:id="3"/>
    <w:bookmarkEnd w:id="4"/>
    <w:p w14:paraId="11118B57" w14:textId="758E0DEF"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645FE0">
        <w:rPr>
          <w:rFonts w:ascii="Times New Roman" w:eastAsia="ＭＳ 明朝" w:hAnsi="Times New Roman" w:cs="Arial"/>
          <w:b/>
          <w:noProof/>
          <w:sz w:val="24"/>
        </w:rPr>
        <w:t>7.1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3EAB5653" w14:textId="6ACEF2A4" w:rsidR="001A01BC" w:rsidRDefault="001A01BC" w:rsidP="00637E13">
      <w:pPr>
        <w:jc w:val="both"/>
        <w:rPr>
          <w:rFonts w:eastAsia="ＭＳ 明朝"/>
          <w:lang w:val="en-GB" w:eastAsia="ja-JP"/>
        </w:rPr>
      </w:pPr>
      <w:r>
        <w:rPr>
          <w:rFonts w:eastAsia="ＭＳ 明朝"/>
          <w:lang w:val="en-GB" w:eastAsia="ja-JP"/>
        </w:rPr>
        <w:t>In this contribution, we propose</w:t>
      </w:r>
      <w:r w:rsidR="00C069A7">
        <w:rPr>
          <w:rFonts w:eastAsia="ＭＳ 明朝"/>
          <w:lang w:val="en-GB" w:eastAsia="ja-JP"/>
        </w:rPr>
        <w:t xml:space="preserve"> a clarification on PDCCH monitoring capability for Case 1-2.</w:t>
      </w:r>
      <w:r>
        <w:rPr>
          <w:rFonts w:eastAsia="ＭＳ 明朝"/>
          <w:lang w:val="en-GB" w:eastAsia="ja-JP"/>
        </w:rPr>
        <w:t xml:space="preserve"> </w:t>
      </w:r>
    </w:p>
    <w:p w14:paraId="37AABA68" w14:textId="54610C22" w:rsidR="00223F7C" w:rsidRDefault="00223F7C" w:rsidP="001650C1">
      <w:pPr>
        <w:jc w:val="both"/>
        <w:rPr>
          <w:lang w:val="en-GB" w:eastAsia="ja-JP"/>
        </w:rPr>
      </w:pPr>
    </w:p>
    <w:p w14:paraId="770EC2E3" w14:textId="03A5F93D" w:rsidR="007B7FDF" w:rsidRPr="00A56AF9" w:rsidRDefault="00990279" w:rsidP="007B7FDF">
      <w:pPr>
        <w:pStyle w:val="Heading1"/>
        <w:numPr>
          <w:ilvl w:val="0"/>
          <w:numId w:val="5"/>
        </w:numPr>
        <w:rPr>
          <w:b/>
          <w:lang w:eastAsia="ja-JP"/>
        </w:rPr>
      </w:pPr>
      <w:r>
        <w:rPr>
          <w:b/>
          <w:lang w:eastAsia="ja-JP"/>
        </w:rPr>
        <w:t>Discussion</w:t>
      </w:r>
    </w:p>
    <w:p w14:paraId="781F58BE" w14:textId="77777777" w:rsidR="001A01BC" w:rsidRDefault="001A01BC" w:rsidP="001A01BC">
      <w:pPr>
        <w:jc w:val="both"/>
        <w:rPr>
          <w:rFonts w:eastAsia="ＭＳ 明朝"/>
          <w:lang w:eastAsia="ja-JP"/>
        </w:rPr>
      </w:pPr>
      <w:r>
        <w:rPr>
          <w:rFonts w:eastAsia="ＭＳ 明朝" w:hint="eastAsia"/>
          <w:lang w:eastAsia="ja-JP"/>
        </w:rPr>
        <w:t>A</w:t>
      </w:r>
      <w:r>
        <w:rPr>
          <w:rFonts w:eastAsia="ＭＳ 明朝"/>
          <w:lang w:eastAsia="ja-JP"/>
        </w:rPr>
        <w:t>t the RAN1#91 meeting, following agreements have been made:</w:t>
      </w:r>
    </w:p>
    <w:tbl>
      <w:tblPr>
        <w:tblStyle w:val="TableGrid"/>
        <w:tblW w:w="0" w:type="auto"/>
        <w:tblLook w:val="04A0" w:firstRow="1" w:lastRow="0" w:firstColumn="1" w:lastColumn="0" w:noHBand="0" w:noVBand="1"/>
      </w:tblPr>
      <w:tblGrid>
        <w:gridCol w:w="9350"/>
      </w:tblGrid>
      <w:tr w:rsidR="001A01BC" w14:paraId="5D9F2236" w14:textId="77777777" w:rsidTr="0085007F">
        <w:tc>
          <w:tcPr>
            <w:tcW w:w="9350" w:type="dxa"/>
          </w:tcPr>
          <w:p w14:paraId="659C6D67" w14:textId="77777777" w:rsidR="001A01BC" w:rsidRDefault="001A01BC" w:rsidP="0085007F">
            <w:pPr>
              <w:rPr>
                <w:rFonts w:ascii="Calibri" w:hAnsi="Calibri" w:cs="Calibri"/>
                <w:b/>
                <w:bCs/>
                <w:u w:val="single"/>
              </w:rPr>
            </w:pPr>
            <w:r>
              <w:rPr>
                <w:rFonts w:ascii="Calibri" w:hAnsi="Calibri" w:cs="Calibri"/>
                <w:b/>
                <w:bCs/>
                <w:highlight w:val="green"/>
                <w:u w:val="single"/>
              </w:rPr>
              <w:t>Agreements</w:t>
            </w:r>
            <w:r>
              <w:rPr>
                <w:rFonts w:ascii="Calibri" w:hAnsi="Calibri" w:cs="Calibri"/>
                <w:b/>
                <w:bCs/>
                <w:u w:val="single"/>
              </w:rPr>
              <w:t>:</w:t>
            </w:r>
          </w:p>
          <w:p w14:paraId="3D1DF657" w14:textId="77777777" w:rsidR="001A01BC" w:rsidRDefault="001A01BC" w:rsidP="0085007F">
            <w:pPr>
              <w:numPr>
                <w:ilvl w:val="0"/>
                <w:numId w:val="39"/>
              </w:numPr>
              <w:jc w:val="both"/>
              <w:rPr>
                <w:rFonts w:ascii="Calibri" w:hAnsi="Calibri" w:cs="Calibri"/>
              </w:rPr>
            </w:pPr>
            <w:r>
              <w:rPr>
                <w:rFonts w:ascii="Calibri" w:hAnsi="Calibri" w:cs="Calibri"/>
              </w:rPr>
              <w:t>For information, the following cases are clarified:</w:t>
            </w:r>
          </w:p>
          <w:p w14:paraId="41802CFD" w14:textId="77777777" w:rsidR="001A01BC" w:rsidRDefault="001A01BC" w:rsidP="0085007F">
            <w:pPr>
              <w:numPr>
                <w:ilvl w:val="1"/>
                <w:numId w:val="39"/>
              </w:numPr>
              <w:jc w:val="both"/>
              <w:rPr>
                <w:rFonts w:ascii="Calibri" w:hAnsi="Calibri" w:cs="Calibri"/>
              </w:rPr>
            </w:pPr>
            <w:r>
              <w:rPr>
                <w:rFonts w:ascii="Calibri" w:hAnsi="Calibri" w:cs="Calibri"/>
              </w:rPr>
              <w:t>Case 1: PDCCH monitoring periodicity of 14 or more symbols</w:t>
            </w:r>
          </w:p>
          <w:p w14:paraId="6D4AC764" w14:textId="77777777" w:rsidR="001A01BC" w:rsidRDefault="001A01BC" w:rsidP="0085007F">
            <w:pPr>
              <w:numPr>
                <w:ilvl w:val="2"/>
                <w:numId w:val="39"/>
              </w:numPr>
              <w:jc w:val="both"/>
              <w:rPr>
                <w:rFonts w:ascii="Calibri" w:hAnsi="Calibri" w:cs="Calibri"/>
              </w:rPr>
            </w:pPr>
            <w:r>
              <w:rPr>
                <w:rFonts w:ascii="Calibri" w:hAnsi="Calibri" w:cs="Calibri"/>
              </w:rPr>
              <w:t>Case 1-1: PDCCH monitoring on up to three OFDM symbols at the beginning of a slot</w:t>
            </w:r>
          </w:p>
          <w:p w14:paraId="68D02D3A" w14:textId="77777777" w:rsidR="001A01BC" w:rsidRDefault="001A01BC" w:rsidP="0085007F">
            <w:pPr>
              <w:numPr>
                <w:ilvl w:val="2"/>
                <w:numId w:val="39"/>
              </w:numPr>
              <w:jc w:val="both"/>
              <w:rPr>
                <w:rFonts w:ascii="Calibri" w:hAnsi="Calibri" w:cs="Calibri"/>
              </w:rPr>
            </w:pPr>
            <w:r>
              <w:rPr>
                <w:rFonts w:ascii="Calibri" w:hAnsi="Calibri" w:cs="Calibri"/>
              </w:rPr>
              <w:t>Case 1-2: PDCCH monitoring on any span of up to 3 consecutive OFDM symbols of a slot</w:t>
            </w:r>
          </w:p>
          <w:p w14:paraId="15640B79" w14:textId="77777777" w:rsidR="001A01BC" w:rsidRDefault="001A01BC" w:rsidP="0085007F">
            <w:pPr>
              <w:numPr>
                <w:ilvl w:val="3"/>
                <w:numId w:val="39"/>
              </w:numPr>
              <w:jc w:val="both"/>
              <w:rPr>
                <w:rFonts w:ascii="Calibri" w:hAnsi="Calibri" w:cs="Calibri"/>
              </w:rPr>
            </w:pPr>
            <w:r>
              <w:rPr>
                <w:rFonts w:ascii="Calibri" w:hAnsi="Calibri" w:cs="Calibri"/>
              </w:rPr>
              <w:t>For a given UE, all search space configurations are within the same span of 3 consecutive OFDM symbols in the slot</w:t>
            </w:r>
          </w:p>
          <w:p w14:paraId="3A18EF08" w14:textId="77777777" w:rsidR="001A01BC" w:rsidRDefault="001A01BC" w:rsidP="0085007F">
            <w:pPr>
              <w:numPr>
                <w:ilvl w:val="1"/>
                <w:numId w:val="39"/>
              </w:numPr>
              <w:jc w:val="both"/>
              <w:rPr>
                <w:rFonts w:ascii="Calibri" w:hAnsi="Calibri" w:cs="Calibri"/>
              </w:rPr>
            </w:pPr>
            <w:r>
              <w:rPr>
                <w:rFonts w:ascii="Calibri" w:hAnsi="Calibri" w:cs="Calibri"/>
              </w:rPr>
              <w:t>Case 2: PDCCH monitoring periodicity of less than 14 symbols</w:t>
            </w:r>
          </w:p>
          <w:p w14:paraId="6996EA15" w14:textId="77777777" w:rsidR="001A01BC" w:rsidRPr="00802D60" w:rsidRDefault="001A01BC" w:rsidP="0085007F">
            <w:pPr>
              <w:numPr>
                <w:ilvl w:val="2"/>
                <w:numId w:val="39"/>
              </w:numPr>
              <w:jc w:val="both"/>
              <w:rPr>
                <w:rFonts w:ascii="Calibri" w:hAnsi="Calibri" w:cs="Calibri"/>
              </w:rPr>
            </w:pPr>
            <w:r w:rsidRPr="00802D60">
              <w:rPr>
                <w:rFonts w:ascii="Calibri" w:hAnsi="Calibri" w:cs="Calibri"/>
              </w:rPr>
              <w:t>Note: this includes the PDCCH monitoring of up to three OFDM symbols at the beginning of a slot</w:t>
            </w:r>
          </w:p>
        </w:tc>
      </w:tr>
    </w:tbl>
    <w:p w14:paraId="3CF051C0" w14:textId="77777777" w:rsidR="001A01BC" w:rsidRDefault="001A01BC" w:rsidP="001A01BC">
      <w:pPr>
        <w:jc w:val="both"/>
        <w:rPr>
          <w:rFonts w:eastAsia="ＭＳ 明朝"/>
          <w:lang w:val="en-GB" w:eastAsia="ja-JP"/>
        </w:rPr>
      </w:pPr>
    </w:p>
    <w:p w14:paraId="6A7D0E4F" w14:textId="352ACEE5" w:rsidR="001A01BC" w:rsidRDefault="00C45CB8" w:rsidP="001A01BC">
      <w:pPr>
        <w:jc w:val="both"/>
        <w:rPr>
          <w:rFonts w:eastAsia="ＭＳ 明朝"/>
          <w:lang w:val="en-GB" w:eastAsia="ja-JP"/>
        </w:rPr>
      </w:pPr>
      <w:r>
        <w:rPr>
          <w:rFonts w:eastAsia="ＭＳ 明朝"/>
          <w:lang w:val="en-GB" w:eastAsia="ja-JP"/>
        </w:rPr>
        <w:t xml:space="preserve">The Case 1-2 was intended to </w:t>
      </w:r>
      <w:r w:rsidR="00DE4F27">
        <w:rPr>
          <w:rFonts w:eastAsia="ＭＳ 明朝"/>
          <w:lang w:val="en-GB" w:eastAsia="ja-JP"/>
        </w:rPr>
        <w:t xml:space="preserve">support </w:t>
      </w:r>
      <w:r>
        <w:rPr>
          <w:rFonts w:eastAsia="ＭＳ 明朝"/>
          <w:lang w:val="en-GB" w:eastAsia="ja-JP"/>
        </w:rPr>
        <w:t xml:space="preserve">DSS </w:t>
      </w:r>
      <w:r w:rsidR="00DE4F27">
        <w:rPr>
          <w:rFonts w:eastAsia="ＭＳ 明朝"/>
          <w:lang w:val="en-GB" w:eastAsia="ja-JP"/>
        </w:rPr>
        <w:t>operation</w:t>
      </w:r>
      <w:r w:rsidR="00B416BF">
        <w:rPr>
          <w:rFonts w:eastAsia="ＭＳ 明朝"/>
          <w:lang w:val="en-GB" w:eastAsia="ja-JP"/>
        </w:rPr>
        <w:t>s</w:t>
      </w:r>
      <w:r>
        <w:rPr>
          <w:rFonts w:eastAsia="ＭＳ 明朝"/>
          <w:lang w:val="en-GB" w:eastAsia="ja-JP"/>
        </w:rPr>
        <w:t xml:space="preserve">. </w:t>
      </w:r>
      <w:r w:rsidR="00C345E3">
        <w:rPr>
          <w:rFonts w:eastAsia="ＭＳ 明朝"/>
          <w:lang w:val="en-GB" w:eastAsia="ja-JP"/>
        </w:rPr>
        <w:t xml:space="preserve">In DSS, </w:t>
      </w:r>
      <w:r w:rsidR="00D32C22">
        <w:rPr>
          <w:rFonts w:eastAsia="ＭＳ 明朝"/>
          <w:lang w:val="en-GB" w:eastAsia="ja-JP"/>
        </w:rPr>
        <w:t xml:space="preserve">LTE-CRS is mapped on some symbols </w:t>
      </w:r>
      <w:r w:rsidR="007A32B4">
        <w:rPr>
          <w:rFonts w:eastAsia="ＭＳ 明朝"/>
          <w:lang w:val="en-GB" w:eastAsia="ja-JP"/>
        </w:rPr>
        <w:t xml:space="preserve">and these </w:t>
      </w:r>
      <w:r w:rsidR="00C345E3">
        <w:rPr>
          <w:rFonts w:eastAsia="ＭＳ 明朝"/>
          <w:lang w:val="en-GB" w:eastAsia="ja-JP"/>
        </w:rPr>
        <w:t xml:space="preserve">symbols </w:t>
      </w:r>
      <w:r w:rsidR="007A32B4">
        <w:rPr>
          <w:rFonts w:eastAsia="ＭＳ 明朝"/>
          <w:lang w:val="en-GB" w:eastAsia="ja-JP"/>
        </w:rPr>
        <w:t>are not available for NR-PDCCH</w:t>
      </w:r>
      <w:r w:rsidR="00C345E3">
        <w:rPr>
          <w:rFonts w:eastAsia="ＭＳ 明朝"/>
          <w:lang w:val="en-GB" w:eastAsia="ja-JP"/>
        </w:rPr>
        <w:t xml:space="preserve"> monitoring. Therefore,</w:t>
      </w:r>
      <w:r w:rsidR="00D32C22">
        <w:rPr>
          <w:rFonts w:eastAsia="ＭＳ 明朝"/>
          <w:lang w:val="en-GB" w:eastAsia="ja-JP"/>
        </w:rPr>
        <w:t xml:space="preserve"> Case 1-2 enables a UE to monitor PDCCH on a </w:t>
      </w:r>
      <w:r w:rsidR="002C155D">
        <w:rPr>
          <w:rFonts w:eastAsia="ＭＳ 明朝"/>
          <w:lang w:val="en-GB" w:eastAsia="ja-JP"/>
        </w:rPr>
        <w:t>single span of</w:t>
      </w:r>
      <w:r w:rsidR="007A32B4">
        <w:rPr>
          <w:rFonts w:eastAsia="ＭＳ 明朝"/>
          <w:lang w:val="en-GB" w:eastAsia="ja-JP"/>
        </w:rPr>
        <w:t xml:space="preserve"> </w:t>
      </w:r>
      <w:r w:rsidR="002C155D">
        <w:rPr>
          <w:rFonts w:eastAsia="ＭＳ 明朝"/>
          <w:lang w:val="en-GB" w:eastAsia="ja-JP"/>
        </w:rPr>
        <w:t>three contiguous OFDM symbols</w:t>
      </w:r>
      <w:r w:rsidR="007A32B4">
        <w:rPr>
          <w:rFonts w:eastAsia="ＭＳ 明朝"/>
          <w:lang w:val="en-GB" w:eastAsia="ja-JP"/>
        </w:rPr>
        <w:t xml:space="preserve"> that is not the first three </w:t>
      </w:r>
      <w:r w:rsidR="00DC6A69">
        <w:rPr>
          <w:rFonts w:eastAsia="ＭＳ 明朝"/>
          <w:lang w:val="en-GB" w:eastAsia="ja-JP"/>
        </w:rPr>
        <w:t xml:space="preserve">consecutive </w:t>
      </w:r>
      <w:r w:rsidR="007A32B4">
        <w:rPr>
          <w:rFonts w:eastAsia="ＭＳ 明朝"/>
          <w:lang w:val="en-GB" w:eastAsia="ja-JP"/>
        </w:rPr>
        <w:t xml:space="preserve">OFDM symbols </w:t>
      </w:r>
      <w:r w:rsidR="002C155D">
        <w:rPr>
          <w:rFonts w:eastAsia="ＭＳ 明朝"/>
          <w:lang w:val="en-GB" w:eastAsia="ja-JP"/>
        </w:rPr>
        <w:t>in a slot. T</w:t>
      </w:r>
      <w:r w:rsidR="00A210B0">
        <w:rPr>
          <w:rFonts w:eastAsia="ＭＳ 明朝"/>
          <w:lang w:val="en-GB" w:eastAsia="ja-JP"/>
        </w:rPr>
        <w:t>he</w:t>
      </w:r>
      <w:r w:rsidR="001A01BC">
        <w:rPr>
          <w:rFonts w:eastAsia="ＭＳ 明朝"/>
          <w:lang w:val="en-GB" w:eastAsia="ja-JP"/>
        </w:rPr>
        <w:t xml:space="preserve"> </w:t>
      </w:r>
      <w:r w:rsidR="002C155D">
        <w:rPr>
          <w:rFonts w:eastAsia="ＭＳ 明朝"/>
          <w:lang w:val="en-GB" w:eastAsia="ja-JP"/>
        </w:rPr>
        <w:t xml:space="preserve">corresponding </w:t>
      </w:r>
      <w:r w:rsidR="001A01BC">
        <w:rPr>
          <w:rFonts w:eastAsia="ＭＳ 明朝"/>
          <w:lang w:val="en-GB" w:eastAsia="ja-JP"/>
        </w:rPr>
        <w:t>UE capability</w:t>
      </w:r>
      <w:r w:rsidR="002C155D">
        <w:rPr>
          <w:rFonts w:eastAsia="ＭＳ 明朝"/>
          <w:lang w:val="en-GB" w:eastAsia="ja-JP"/>
        </w:rPr>
        <w:t>,</w:t>
      </w:r>
      <w:r w:rsidR="001A01BC">
        <w:rPr>
          <w:rFonts w:eastAsia="ＭＳ 明朝"/>
          <w:lang w:val="en-GB" w:eastAsia="ja-JP"/>
        </w:rPr>
        <w:t xml:space="preserve"> </w:t>
      </w:r>
      <w:proofErr w:type="spellStart"/>
      <w:r w:rsidR="00A210B0" w:rsidRPr="00A210B0">
        <w:rPr>
          <w:rFonts w:eastAsia="ＭＳ 明朝"/>
          <w:i/>
          <w:iCs/>
          <w:lang w:val="en-GB" w:eastAsia="ja-JP"/>
        </w:rPr>
        <w:t>pdcch-MonitoringSingleOccasion</w:t>
      </w:r>
      <w:proofErr w:type="spellEnd"/>
      <w:r w:rsidR="002C155D">
        <w:rPr>
          <w:rFonts w:eastAsia="ＭＳ 明朝"/>
          <w:lang w:val="en-GB" w:eastAsia="ja-JP"/>
        </w:rPr>
        <w:t>,</w:t>
      </w:r>
      <w:r w:rsidR="00A210B0">
        <w:rPr>
          <w:rFonts w:eastAsia="ＭＳ 明朝"/>
          <w:lang w:val="en-GB" w:eastAsia="ja-JP"/>
        </w:rPr>
        <w:t xml:space="preserve"> </w:t>
      </w:r>
      <w:r w:rsidR="001A01BC">
        <w:rPr>
          <w:rFonts w:eastAsia="ＭＳ 明朝"/>
          <w:lang w:val="en-GB" w:eastAsia="ja-JP"/>
        </w:rPr>
        <w:t>has been specified</w:t>
      </w:r>
      <w:r w:rsidR="002C155D">
        <w:rPr>
          <w:rFonts w:eastAsia="ＭＳ 明朝"/>
          <w:lang w:val="en-GB" w:eastAsia="ja-JP"/>
        </w:rPr>
        <w:t xml:space="preserve"> </w:t>
      </w:r>
      <w:r w:rsidR="00E956E8">
        <w:rPr>
          <w:rFonts w:eastAsia="ＭＳ 明朝"/>
          <w:lang w:val="en-GB" w:eastAsia="ja-JP"/>
        </w:rPr>
        <w:t xml:space="preserve">for SCS 15kHz </w:t>
      </w:r>
      <w:r w:rsidR="00BF67AB">
        <w:rPr>
          <w:rFonts w:eastAsia="ＭＳ 明朝"/>
          <w:lang w:val="en-GB" w:eastAsia="ja-JP"/>
        </w:rPr>
        <w:t xml:space="preserve">in TS 38.306 </w:t>
      </w:r>
      <w:r w:rsidR="002C155D">
        <w:rPr>
          <w:rFonts w:eastAsia="ＭＳ 明朝"/>
          <w:lang w:val="en-GB" w:eastAsia="ja-JP"/>
        </w:rPr>
        <w:t>as follows</w:t>
      </w:r>
      <w:r w:rsidR="006268D7">
        <w:rPr>
          <w:rFonts w:eastAsia="ＭＳ 明朝"/>
          <w:lang w:val="en-GB" w:eastAsia="ja-JP"/>
        </w:rPr>
        <w:t xml:space="preserve"> [1]</w:t>
      </w:r>
      <w:r w:rsidR="00E956E8">
        <w:rPr>
          <w:rFonts w:eastAsia="ＭＳ 明朝"/>
          <w:lang w:val="en-GB" w:eastAsia="ja-JP"/>
        </w:rPr>
        <w:t>.</w:t>
      </w:r>
    </w:p>
    <w:p w14:paraId="10123937" w14:textId="77777777" w:rsidR="009E569C" w:rsidRDefault="009E569C" w:rsidP="001A01BC">
      <w:pPr>
        <w:jc w:val="both"/>
        <w:rPr>
          <w:rFonts w:eastAsia="ＭＳ 明朝"/>
          <w:lang w:val="en-GB"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210B0" w:rsidRPr="00E47AAE" w14:paraId="5DCE9594" w14:textId="77777777" w:rsidTr="0085007F">
        <w:trPr>
          <w:cantSplit/>
          <w:tblHeader/>
        </w:trPr>
        <w:tc>
          <w:tcPr>
            <w:tcW w:w="6917" w:type="dxa"/>
          </w:tcPr>
          <w:p w14:paraId="441BB317" w14:textId="77777777" w:rsidR="00A210B0" w:rsidRPr="00E47AAE" w:rsidRDefault="00A210B0" w:rsidP="0085007F">
            <w:pPr>
              <w:pStyle w:val="TAL"/>
              <w:rPr>
                <w:b/>
                <w:i/>
              </w:rPr>
            </w:pPr>
            <w:proofErr w:type="spellStart"/>
            <w:r w:rsidRPr="00E47AAE">
              <w:rPr>
                <w:b/>
                <w:i/>
              </w:rPr>
              <w:t>pdcch-MonitoringSingleOccasion</w:t>
            </w:r>
            <w:proofErr w:type="spellEnd"/>
          </w:p>
          <w:p w14:paraId="75B2488D" w14:textId="77777777" w:rsidR="00A210B0" w:rsidRPr="00E47AAE" w:rsidRDefault="00A210B0" w:rsidP="0085007F">
            <w:pPr>
              <w:pStyle w:val="TAL"/>
            </w:pPr>
            <w:r w:rsidRPr="00E47AA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3964933" w14:textId="77777777" w:rsidR="00A210B0" w:rsidRPr="00E47AAE" w:rsidRDefault="00A210B0" w:rsidP="0085007F">
            <w:pPr>
              <w:pStyle w:val="TAL"/>
              <w:jc w:val="center"/>
            </w:pPr>
            <w:r w:rsidRPr="00E47AAE">
              <w:t>UE</w:t>
            </w:r>
          </w:p>
        </w:tc>
        <w:tc>
          <w:tcPr>
            <w:tcW w:w="567" w:type="dxa"/>
          </w:tcPr>
          <w:p w14:paraId="47830CA8" w14:textId="77777777" w:rsidR="00A210B0" w:rsidRPr="00E47AAE" w:rsidRDefault="00A210B0" w:rsidP="0085007F">
            <w:pPr>
              <w:pStyle w:val="TAL"/>
              <w:jc w:val="center"/>
            </w:pPr>
            <w:r w:rsidRPr="00E47AAE">
              <w:t>No</w:t>
            </w:r>
          </w:p>
        </w:tc>
        <w:tc>
          <w:tcPr>
            <w:tcW w:w="709" w:type="dxa"/>
          </w:tcPr>
          <w:p w14:paraId="09896ECA" w14:textId="77777777" w:rsidR="00A210B0" w:rsidRPr="00E47AAE" w:rsidRDefault="00A210B0" w:rsidP="0085007F">
            <w:pPr>
              <w:pStyle w:val="TAL"/>
              <w:jc w:val="center"/>
            </w:pPr>
            <w:r w:rsidRPr="00E47AAE">
              <w:t>No</w:t>
            </w:r>
          </w:p>
        </w:tc>
        <w:tc>
          <w:tcPr>
            <w:tcW w:w="728" w:type="dxa"/>
          </w:tcPr>
          <w:p w14:paraId="786BE21E" w14:textId="77777777" w:rsidR="00A210B0" w:rsidRPr="00E47AAE" w:rsidRDefault="00A210B0" w:rsidP="0085007F">
            <w:pPr>
              <w:pStyle w:val="TAL"/>
              <w:jc w:val="center"/>
            </w:pPr>
            <w:r w:rsidRPr="00E47AAE">
              <w:t>FR1 only</w:t>
            </w:r>
          </w:p>
        </w:tc>
      </w:tr>
    </w:tbl>
    <w:p w14:paraId="0CB56B4E" w14:textId="5941D43B" w:rsidR="002C155D" w:rsidRDefault="002C155D" w:rsidP="001A01BC">
      <w:pPr>
        <w:jc w:val="both"/>
        <w:rPr>
          <w:rFonts w:eastAsia="ＭＳ 明朝"/>
          <w:lang w:val="en-GB" w:eastAsia="ja-JP"/>
        </w:rPr>
      </w:pPr>
    </w:p>
    <w:p w14:paraId="7D0127D5" w14:textId="31DEB73A" w:rsidR="00990279" w:rsidRDefault="009E569C" w:rsidP="007B7FDF">
      <w:pPr>
        <w:jc w:val="both"/>
        <w:rPr>
          <w:rFonts w:eastAsia="ＭＳ 明朝"/>
          <w:lang w:val="en-GB" w:eastAsia="ja-JP"/>
        </w:rPr>
      </w:pPr>
      <w:r>
        <w:rPr>
          <w:rFonts w:eastAsia="ＭＳ 明朝" w:hint="eastAsia"/>
          <w:lang w:val="en-GB" w:eastAsia="ja-JP"/>
        </w:rPr>
        <w:t>H</w:t>
      </w:r>
      <w:r>
        <w:rPr>
          <w:rFonts w:eastAsia="ＭＳ 明朝"/>
          <w:lang w:val="en-GB" w:eastAsia="ja-JP"/>
        </w:rPr>
        <w:t xml:space="preserve">owever, </w:t>
      </w:r>
      <w:r w:rsidR="00C134AC">
        <w:rPr>
          <w:rFonts w:eastAsia="ＭＳ 明朝"/>
          <w:lang w:val="en-GB" w:eastAsia="ja-JP"/>
        </w:rPr>
        <w:t xml:space="preserve">PDCCH monitoring cannot be such flexible. According to </w:t>
      </w:r>
      <w:r w:rsidR="002C3164">
        <w:rPr>
          <w:rFonts w:eastAsia="ＭＳ 明朝"/>
          <w:lang w:val="en-GB" w:eastAsia="ja-JP"/>
        </w:rPr>
        <w:t xml:space="preserve">TS 38.213 </w:t>
      </w:r>
      <w:r w:rsidR="002F76C9">
        <w:rPr>
          <w:rFonts w:eastAsia="ＭＳ 明朝"/>
          <w:lang w:val="en-GB" w:eastAsia="ja-JP"/>
        </w:rPr>
        <w:t>Table 13-11, the first symbol index of a PDCCH monitoring occasion for Type-0 CSS set</w:t>
      </w:r>
      <w:r w:rsidR="00B364A1">
        <w:rPr>
          <w:rFonts w:eastAsia="ＭＳ 明朝"/>
          <w:lang w:val="en-GB" w:eastAsia="ja-JP"/>
        </w:rPr>
        <w:t xml:space="preserve"> in FR1</w:t>
      </w:r>
      <w:r w:rsidR="002F76C9">
        <w:rPr>
          <w:rFonts w:eastAsia="ＭＳ 明朝"/>
          <w:lang w:val="en-GB" w:eastAsia="ja-JP"/>
        </w:rPr>
        <w:t xml:space="preserve"> </w:t>
      </w:r>
      <w:r w:rsidR="00442B76">
        <w:rPr>
          <w:rFonts w:eastAsia="ＭＳ 明朝"/>
          <w:lang w:val="en-GB" w:eastAsia="ja-JP"/>
        </w:rPr>
        <w:t xml:space="preserve">is {0, 1, 2, or </w:t>
      </w:r>
      <m:oMath>
        <m:sSubSup>
          <m:sSubSupPr>
            <m:ctrlPr>
              <w:rPr>
                <w:rFonts w:ascii="Cambria Math" w:eastAsia="ＭＳ 明朝" w:hAnsi="Cambria Math"/>
                <w:i/>
                <w:lang w:val="en-GB" w:eastAsia="ja-JP"/>
              </w:rPr>
            </m:ctrlPr>
          </m:sSubSupPr>
          <m:e>
            <m:r>
              <w:rPr>
                <w:rFonts w:ascii="Cambria Math" w:eastAsia="ＭＳ 明朝" w:hAnsi="Cambria Math"/>
                <w:lang w:val="en-GB" w:eastAsia="ja-JP"/>
              </w:rPr>
              <m:t>N</m:t>
            </m:r>
          </m:e>
          <m:sub>
            <m:r>
              <w:rPr>
                <w:rFonts w:ascii="Cambria Math" w:eastAsia="ＭＳ 明朝" w:hAnsi="Cambria Math"/>
                <w:lang w:val="en-GB" w:eastAsia="ja-JP"/>
              </w:rPr>
              <m:t>symb</m:t>
            </m:r>
          </m:sub>
          <m:sup>
            <m:r>
              <w:rPr>
                <w:rFonts w:ascii="Cambria Math" w:eastAsia="ＭＳ 明朝" w:hAnsi="Cambria Math"/>
                <w:lang w:val="en-GB" w:eastAsia="ja-JP"/>
              </w:rPr>
              <m:t>CORESET</m:t>
            </m:r>
          </m:sup>
        </m:sSubSup>
      </m:oMath>
      <w:r w:rsidR="00442B76">
        <w:rPr>
          <w:rFonts w:eastAsia="ＭＳ 明朝"/>
          <w:lang w:val="en-GB" w:eastAsia="ja-JP"/>
        </w:rPr>
        <w:t xml:space="preserve">}, where </w:t>
      </w:r>
      <m:oMath>
        <m:sSubSup>
          <m:sSubSupPr>
            <m:ctrlPr>
              <w:rPr>
                <w:rFonts w:ascii="Cambria Math" w:eastAsia="ＭＳ 明朝" w:hAnsi="Cambria Math"/>
                <w:i/>
                <w:lang w:val="en-GB" w:eastAsia="ja-JP"/>
              </w:rPr>
            </m:ctrlPr>
          </m:sSubSupPr>
          <m:e>
            <m:r>
              <w:rPr>
                <w:rFonts w:ascii="Cambria Math" w:eastAsia="ＭＳ 明朝" w:hAnsi="Cambria Math"/>
                <w:lang w:val="en-GB" w:eastAsia="ja-JP"/>
              </w:rPr>
              <m:t>N</m:t>
            </m:r>
          </m:e>
          <m:sub>
            <m:r>
              <w:rPr>
                <w:rFonts w:ascii="Cambria Math" w:eastAsia="ＭＳ 明朝" w:hAnsi="Cambria Math"/>
                <w:lang w:val="en-GB" w:eastAsia="ja-JP"/>
              </w:rPr>
              <m:t>symb</m:t>
            </m:r>
          </m:sub>
          <m:sup>
            <m:r>
              <w:rPr>
                <w:rFonts w:ascii="Cambria Math" w:eastAsia="ＭＳ 明朝" w:hAnsi="Cambria Math"/>
                <w:lang w:val="en-GB" w:eastAsia="ja-JP"/>
              </w:rPr>
              <m:t>CORESET</m:t>
            </m:r>
          </m:sup>
        </m:sSubSup>
      </m:oMath>
      <w:r w:rsidR="00442B76">
        <w:rPr>
          <w:rFonts w:eastAsia="ＭＳ 明朝" w:hint="eastAsia"/>
          <w:lang w:val="en-GB" w:eastAsia="ja-JP"/>
        </w:rPr>
        <w:t xml:space="preserve"> </w:t>
      </w:r>
      <w:r w:rsidR="00442B76">
        <w:rPr>
          <w:rFonts w:eastAsia="ＭＳ 明朝"/>
          <w:lang w:val="en-GB" w:eastAsia="ja-JP"/>
        </w:rPr>
        <w:t xml:space="preserve">is the number of symbols for CORESET #0. </w:t>
      </w:r>
      <w:r w:rsidR="00264E87">
        <w:rPr>
          <w:rFonts w:eastAsia="ＭＳ 明朝"/>
          <w:lang w:val="en-GB" w:eastAsia="ja-JP"/>
        </w:rPr>
        <w:t>Moreover, in DSS scenarios, LTE-CRS is present on symbol</w:t>
      </w:r>
      <w:r w:rsidR="00986727">
        <w:rPr>
          <w:rFonts w:eastAsia="ＭＳ 明朝"/>
          <w:lang w:val="en-GB" w:eastAsia="ja-JP"/>
        </w:rPr>
        <w:t xml:space="preserve">s #0 and #4 </w:t>
      </w:r>
      <w:r w:rsidR="00B55AEE">
        <w:rPr>
          <w:rFonts w:eastAsia="ＭＳ 明朝"/>
          <w:lang w:val="en-GB" w:eastAsia="ja-JP"/>
        </w:rPr>
        <w:t>when the number of CRS antenna ports is 1 or 2,</w:t>
      </w:r>
      <w:r w:rsidR="00986727">
        <w:rPr>
          <w:rFonts w:eastAsia="ＭＳ 明朝"/>
          <w:lang w:val="en-GB" w:eastAsia="ja-JP"/>
        </w:rPr>
        <w:t xml:space="preserve"> and </w:t>
      </w:r>
      <w:r w:rsidR="00B55AEE">
        <w:rPr>
          <w:rFonts w:eastAsia="ＭＳ 明朝"/>
          <w:lang w:val="en-GB" w:eastAsia="ja-JP"/>
        </w:rPr>
        <w:t xml:space="preserve">on </w:t>
      </w:r>
      <w:r w:rsidR="00627BAE">
        <w:rPr>
          <w:rFonts w:eastAsia="ＭＳ 明朝"/>
          <w:lang w:val="en-GB" w:eastAsia="ja-JP"/>
        </w:rPr>
        <w:t xml:space="preserve">symbols #0, #1, and #4 </w:t>
      </w:r>
      <w:r w:rsidR="00B55AEE">
        <w:rPr>
          <w:rFonts w:eastAsia="ＭＳ 明朝"/>
          <w:lang w:val="en-GB" w:eastAsia="ja-JP"/>
        </w:rPr>
        <w:t>when the number of CRS antenna ports is 4</w:t>
      </w:r>
      <w:r w:rsidR="00264E87">
        <w:rPr>
          <w:rFonts w:eastAsia="ＭＳ 明朝"/>
          <w:lang w:val="en-GB" w:eastAsia="ja-JP"/>
        </w:rPr>
        <w:t xml:space="preserve">. </w:t>
      </w:r>
      <w:r w:rsidR="0034492C">
        <w:rPr>
          <w:rFonts w:eastAsia="ＭＳ 明朝"/>
          <w:lang w:val="en-GB" w:eastAsia="ja-JP"/>
        </w:rPr>
        <w:t xml:space="preserve">Therefore, the available symbols for </w:t>
      </w:r>
      <w:r w:rsidR="00627BAE">
        <w:rPr>
          <w:rFonts w:eastAsia="ＭＳ 明朝"/>
          <w:lang w:val="en-GB" w:eastAsia="ja-JP"/>
        </w:rPr>
        <w:t xml:space="preserve">NR </w:t>
      </w:r>
      <w:r w:rsidR="0034492C">
        <w:rPr>
          <w:rFonts w:eastAsia="ＭＳ 明朝"/>
          <w:lang w:val="en-GB" w:eastAsia="ja-JP"/>
        </w:rPr>
        <w:t xml:space="preserve">PDCCH monitoring in Case 1-2 </w:t>
      </w:r>
      <w:r w:rsidR="008F24FF">
        <w:rPr>
          <w:rFonts w:eastAsia="ＭＳ 明朝"/>
          <w:lang w:val="en-GB" w:eastAsia="ja-JP"/>
        </w:rPr>
        <w:t xml:space="preserve">with the UE capability </w:t>
      </w:r>
      <w:proofErr w:type="spellStart"/>
      <w:r w:rsidR="008F24FF" w:rsidRPr="008F24FF">
        <w:rPr>
          <w:rFonts w:eastAsia="ＭＳ 明朝"/>
          <w:i/>
          <w:iCs/>
          <w:lang w:val="en-GB" w:eastAsia="ja-JP"/>
        </w:rPr>
        <w:t>pdcch-MonitoringSingleOccasion</w:t>
      </w:r>
      <w:proofErr w:type="spellEnd"/>
      <w:r w:rsidR="008F24FF">
        <w:rPr>
          <w:rFonts w:eastAsia="ＭＳ 明朝"/>
          <w:lang w:val="en-GB" w:eastAsia="ja-JP"/>
        </w:rPr>
        <w:t xml:space="preserve"> </w:t>
      </w:r>
      <w:r w:rsidR="0034492C">
        <w:rPr>
          <w:rFonts w:eastAsia="ＭＳ 明朝"/>
          <w:lang w:val="en-GB" w:eastAsia="ja-JP"/>
        </w:rPr>
        <w:t xml:space="preserve">are </w:t>
      </w:r>
      <w:r w:rsidR="00627BAE">
        <w:rPr>
          <w:rFonts w:eastAsia="ＭＳ 明朝"/>
          <w:lang w:val="en-GB" w:eastAsia="ja-JP"/>
        </w:rPr>
        <w:t xml:space="preserve">limited </w:t>
      </w:r>
      <w:r w:rsidR="00270112">
        <w:rPr>
          <w:rFonts w:eastAsia="ＭＳ 明朝"/>
          <w:lang w:val="en-GB" w:eastAsia="ja-JP"/>
        </w:rPr>
        <w:t xml:space="preserve">up </w:t>
      </w:r>
      <w:r w:rsidR="00E6269B">
        <w:rPr>
          <w:rFonts w:eastAsia="ＭＳ 明朝"/>
          <w:lang w:val="en-GB" w:eastAsia="ja-JP"/>
        </w:rPr>
        <w:t>on consecutive symbols #1 – #3</w:t>
      </w:r>
      <w:r w:rsidR="00270112">
        <w:rPr>
          <w:rFonts w:eastAsia="ＭＳ 明朝"/>
          <w:lang w:val="en-GB" w:eastAsia="ja-JP"/>
        </w:rPr>
        <w:t xml:space="preserve"> in a </w:t>
      </w:r>
      <w:proofErr w:type="gramStart"/>
      <w:r w:rsidR="00270112">
        <w:rPr>
          <w:rFonts w:eastAsia="ＭＳ 明朝"/>
          <w:lang w:val="en-GB" w:eastAsia="ja-JP"/>
        </w:rPr>
        <w:t xml:space="preserve">slot </w:t>
      </w:r>
      <w:r w:rsidR="008F24FF">
        <w:rPr>
          <w:rFonts w:eastAsia="ＭＳ 明朝"/>
          <w:lang w:val="en-GB" w:eastAsia="ja-JP"/>
        </w:rPr>
        <w:t>in reality</w:t>
      </w:r>
      <w:proofErr w:type="gramEnd"/>
      <w:r w:rsidR="0034492C">
        <w:rPr>
          <w:rFonts w:eastAsia="ＭＳ 明朝"/>
          <w:lang w:val="en-GB" w:eastAsia="ja-JP"/>
        </w:rPr>
        <w:t>.</w:t>
      </w:r>
    </w:p>
    <w:p w14:paraId="260C681B" w14:textId="0561710F" w:rsidR="00A10EB8" w:rsidRDefault="004D749C" w:rsidP="001A7284">
      <w:pPr>
        <w:jc w:val="center"/>
        <w:rPr>
          <w:rFonts w:eastAsia="ＭＳ 明朝"/>
          <w:lang w:val="en-GB" w:eastAsia="ja-JP"/>
        </w:rPr>
      </w:pPr>
      <w:r w:rsidRPr="004D749C">
        <w:rPr>
          <w:noProof/>
        </w:rPr>
        <w:lastRenderedPageBreak/>
        <w:drawing>
          <wp:inline distT="0" distB="0" distL="0" distR="0" wp14:anchorId="4FF52572" wp14:editId="02267557">
            <wp:extent cx="2853000" cy="238284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3000" cy="2382840"/>
                    </a:xfrm>
                    <a:prstGeom prst="rect">
                      <a:avLst/>
                    </a:prstGeom>
                    <a:noFill/>
                    <a:ln>
                      <a:noFill/>
                    </a:ln>
                  </pic:spPr>
                </pic:pic>
              </a:graphicData>
            </a:graphic>
          </wp:inline>
        </w:drawing>
      </w:r>
      <w:r w:rsidR="00685C48">
        <w:rPr>
          <w:rFonts w:eastAsia="ＭＳ 明朝" w:hint="eastAsia"/>
          <w:lang w:val="en-GB" w:eastAsia="ja-JP"/>
        </w:rPr>
        <w:t xml:space="preserve"> </w:t>
      </w:r>
      <w:r w:rsidR="00685C48">
        <w:rPr>
          <w:rFonts w:eastAsia="ＭＳ 明朝"/>
          <w:lang w:val="en-GB" w:eastAsia="ja-JP"/>
        </w:rPr>
        <w:t xml:space="preserve">     </w:t>
      </w:r>
      <w:r w:rsidR="007758B3" w:rsidRPr="007758B3">
        <w:rPr>
          <w:noProof/>
        </w:rPr>
        <w:drawing>
          <wp:inline distT="0" distB="0" distL="0" distR="0" wp14:anchorId="0B9F9039" wp14:editId="68AAF92F">
            <wp:extent cx="2853720" cy="238356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3720" cy="2383560"/>
                    </a:xfrm>
                    <a:prstGeom prst="rect">
                      <a:avLst/>
                    </a:prstGeom>
                    <a:noFill/>
                    <a:ln>
                      <a:noFill/>
                    </a:ln>
                  </pic:spPr>
                </pic:pic>
              </a:graphicData>
            </a:graphic>
          </wp:inline>
        </w:drawing>
      </w:r>
    </w:p>
    <w:p w14:paraId="6F773E15" w14:textId="0C01FFE7" w:rsidR="007758B3" w:rsidRDefault="007758B3" w:rsidP="001A7284">
      <w:pPr>
        <w:jc w:val="center"/>
        <w:rPr>
          <w:rFonts w:eastAsia="ＭＳ 明朝"/>
          <w:lang w:val="en-GB" w:eastAsia="ja-JP"/>
        </w:rPr>
      </w:pPr>
      <w:r>
        <w:rPr>
          <w:rFonts w:eastAsia="ＭＳ 明朝" w:hint="eastAsia"/>
          <w:lang w:val="en-GB" w:eastAsia="ja-JP"/>
        </w:rPr>
        <w:t>(</w:t>
      </w:r>
      <w:r>
        <w:rPr>
          <w:rFonts w:eastAsia="ＭＳ 明朝"/>
          <w:lang w:val="en-GB" w:eastAsia="ja-JP"/>
        </w:rPr>
        <w:t>a) LTE-CRS 2 ports</w:t>
      </w:r>
      <w:r>
        <w:rPr>
          <w:rFonts w:eastAsia="ＭＳ 明朝"/>
          <w:lang w:val="en-GB" w:eastAsia="ja-JP"/>
        </w:rPr>
        <w:tab/>
      </w:r>
      <w:r w:rsidR="001A7284">
        <w:rPr>
          <w:rFonts w:eastAsia="ＭＳ 明朝"/>
          <w:lang w:val="en-GB" w:eastAsia="ja-JP"/>
        </w:rPr>
        <w:tab/>
      </w:r>
      <w:r w:rsidR="001A7284">
        <w:rPr>
          <w:rFonts w:eastAsia="ＭＳ 明朝"/>
          <w:lang w:val="en-GB" w:eastAsia="ja-JP"/>
        </w:rPr>
        <w:tab/>
      </w:r>
      <w:r>
        <w:rPr>
          <w:rFonts w:eastAsia="ＭＳ 明朝"/>
          <w:lang w:val="en-GB" w:eastAsia="ja-JP"/>
        </w:rPr>
        <w:tab/>
        <w:t>(b) LTE-CRS 4 ports</w:t>
      </w:r>
    </w:p>
    <w:p w14:paraId="43C30314" w14:textId="799D5DE8" w:rsidR="001A7284" w:rsidRDefault="001A7284" w:rsidP="001A7284">
      <w:pPr>
        <w:jc w:val="center"/>
        <w:rPr>
          <w:rFonts w:eastAsia="ＭＳ 明朝"/>
          <w:lang w:val="en-GB" w:eastAsia="ja-JP"/>
        </w:rPr>
      </w:pPr>
      <w:r>
        <w:rPr>
          <w:rFonts w:eastAsia="ＭＳ 明朝" w:hint="eastAsia"/>
          <w:lang w:val="en-GB" w:eastAsia="ja-JP"/>
        </w:rPr>
        <w:t>F</w:t>
      </w:r>
      <w:r>
        <w:rPr>
          <w:rFonts w:eastAsia="ＭＳ 明朝"/>
          <w:lang w:val="en-GB" w:eastAsia="ja-JP"/>
        </w:rPr>
        <w:t>ig.1</w:t>
      </w:r>
      <w:r>
        <w:rPr>
          <w:rFonts w:eastAsia="ＭＳ 明朝"/>
          <w:lang w:val="en-GB" w:eastAsia="ja-JP"/>
        </w:rPr>
        <w:tab/>
        <w:t>Symbols available for NR-PDCCH monitoring on a DSS carrier</w:t>
      </w:r>
    </w:p>
    <w:p w14:paraId="720CD59C" w14:textId="4271BDD3" w:rsidR="00C60121" w:rsidRDefault="00C60121" w:rsidP="007B7FDF">
      <w:pPr>
        <w:jc w:val="both"/>
        <w:rPr>
          <w:rFonts w:eastAsia="ＭＳ 明朝"/>
          <w:lang w:val="en-GB" w:eastAsia="ja-JP"/>
        </w:rPr>
      </w:pPr>
    </w:p>
    <w:p w14:paraId="45E25AA8" w14:textId="2D120720" w:rsidR="002E109A" w:rsidRDefault="00634668" w:rsidP="007B7FDF">
      <w:pPr>
        <w:jc w:val="both"/>
        <w:rPr>
          <w:rFonts w:eastAsia="ＭＳ 明朝"/>
          <w:lang w:val="en-GB" w:eastAsia="ja-JP"/>
        </w:rPr>
      </w:pPr>
      <w:r>
        <w:rPr>
          <w:rFonts w:eastAsia="ＭＳ 明朝"/>
          <w:lang w:val="en-GB" w:eastAsia="ja-JP"/>
        </w:rPr>
        <w:t>T</w:t>
      </w:r>
      <w:r w:rsidR="00E548B9">
        <w:rPr>
          <w:rFonts w:eastAsia="ＭＳ 明朝"/>
          <w:lang w:val="en-GB" w:eastAsia="ja-JP"/>
        </w:rPr>
        <w:t xml:space="preserve">here are some other </w:t>
      </w:r>
      <w:r w:rsidR="00FA1E78">
        <w:rPr>
          <w:rFonts w:eastAsia="ＭＳ 明朝"/>
          <w:lang w:val="en-GB" w:eastAsia="ja-JP"/>
        </w:rPr>
        <w:t xml:space="preserve">aspects </w:t>
      </w:r>
      <w:r>
        <w:rPr>
          <w:rFonts w:eastAsia="ＭＳ 明朝"/>
          <w:lang w:val="en-GB" w:eastAsia="ja-JP"/>
        </w:rPr>
        <w:t xml:space="preserve">indicating that single span of </w:t>
      </w:r>
      <w:r w:rsidR="00C21227">
        <w:rPr>
          <w:rFonts w:eastAsia="ＭＳ 明朝"/>
          <w:lang w:val="en-GB" w:eastAsia="ja-JP"/>
        </w:rPr>
        <w:t xml:space="preserve">PDCCH monitoring </w:t>
      </w:r>
      <w:r w:rsidR="00FA1E78">
        <w:rPr>
          <w:rFonts w:eastAsia="ＭＳ 明朝"/>
          <w:lang w:val="en-GB" w:eastAsia="ja-JP"/>
        </w:rPr>
        <w:t xml:space="preserve">on </w:t>
      </w:r>
      <w:r>
        <w:rPr>
          <w:rFonts w:eastAsia="ＭＳ 明朝"/>
          <w:lang w:val="en-GB" w:eastAsia="ja-JP"/>
        </w:rPr>
        <w:t xml:space="preserve">any symbols </w:t>
      </w:r>
      <w:r w:rsidR="00BA011E">
        <w:rPr>
          <w:rFonts w:eastAsia="ＭＳ 明朝"/>
          <w:lang w:val="en-GB" w:eastAsia="ja-JP"/>
        </w:rPr>
        <w:t xml:space="preserve">in a slot </w:t>
      </w:r>
      <w:r>
        <w:rPr>
          <w:rFonts w:eastAsia="ＭＳ 明朝"/>
          <w:lang w:val="en-GB" w:eastAsia="ja-JP"/>
        </w:rPr>
        <w:t>does not make sense</w:t>
      </w:r>
      <w:r w:rsidR="00C21227">
        <w:rPr>
          <w:rFonts w:eastAsia="ＭＳ 明朝"/>
          <w:lang w:val="en-GB" w:eastAsia="ja-JP"/>
        </w:rPr>
        <w:t>:</w:t>
      </w:r>
    </w:p>
    <w:p w14:paraId="69B5598C" w14:textId="5BF7C8DD" w:rsidR="00C21227" w:rsidRDefault="00521397" w:rsidP="00C21227">
      <w:pPr>
        <w:pStyle w:val="ListParagraph"/>
        <w:numPr>
          <w:ilvl w:val="0"/>
          <w:numId w:val="41"/>
        </w:numPr>
        <w:ind w:leftChars="0"/>
        <w:jc w:val="both"/>
        <w:rPr>
          <w:rFonts w:eastAsia="ＭＳ 明朝"/>
          <w:lang w:val="en-GB" w:eastAsia="ja-JP"/>
        </w:rPr>
      </w:pPr>
      <w:r>
        <w:rPr>
          <w:rFonts w:eastAsia="ＭＳ 明朝" w:hint="eastAsia"/>
          <w:lang w:val="en-GB" w:eastAsia="ja-JP"/>
        </w:rPr>
        <w:t>S</w:t>
      </w:r>
      <w:r>
        <w:rPr>
          <w:rFonts w:eastAsia="ＭＳ 明朝"/>
          <w:lang w:val="en-GB" w:eastAsia="ja-JP"/>
        </w:rPr>
        <w:t xml:space="preserve">ingle span of PDCCH monitoring occasion in a middle/end of a slot </w:t>
      </w:r>
      <w:r w:rsidR="000F490C">
        <w:rPr>
          <w:rFonts w:eastAsia="ＭＳ 明朝"/>
          <w:lang w:val="en-GB" w:eastAsia="ja-JP"/>
        </w:rPr>
        <w:t xml:space="preserve">does not enable PDSCH </w:t>
      </w:r>
      <w:r w:rsidR="005833DA">
        <w:rPr>
          <w:rFonts w:eastAsia="ＭＳ 明朝"/>
          <w:lang w:val="en-GB" w:eastAsia="ja-JP"/>
        </w:rPr>
        <w:t>scheduling over the entire slot with a single DCI format</w:t>
      </w:r>
      <w:r w:rsidR="00A40CE8">
        <w:rPr>
          <w:rFonts w:eastAsia="ＭＳ 明朝"/>
          <w:lang w:val="en-GB" w:eastAsia="ja-JP"/>
        </w:rPr>
        <w:t xml:space="preserve"> </w:t>
      </w:r>
      <w:r w:rsidR="009D4305">
        <w:rPr>
          <w:rFonts w:eastAsia="ＭＳ 明朝"/>
          <w:lang w:val="en-GB" w:eastAsia="ja-JP"/>
        </w:rPr>
        <w:t>when K0 = 0.</w:t>
      </w:r>
    </w:p>
    <w:p w14:paraId="7D57E933" w14:textId="3948705F" w:rsidR="0085758C" w:rsidRPr="00C21227" w:rsidRDefault="00AF01A4" w:rsidP="00C21227">
      <w:pPr>
        <w:pStyle w:val="ListParagraph"/>
        <w:numPr>
          <w:ilvl w:val="0"/>
          <w:numId w:val="41"/>
        </w:numPr>
        <w:ind w:leftChars="0"/>
        <w:jc w:val="both"/>
        <w:rPr>
          <w:rFonts w:eastAsia="ＭＳ 明朝"/>
          <w:lang w:val="en-GB" w:eastAsia="ja-JP"/>
        </w:rPr>
      </w:pPr>
      <w:r>
        <w:rPr>
          <w:rFonts w:eastAsia="ＭＳ 明朝"/>
          <w:lang w:val="en-GB" w:eastAsia="ja-JP"/>
        </w:rPr>
        <w:t>As far as we know, t</w:t>
      </w:r>
      <w:r w:rsidR="0085758C">
        <w:rPr>
          <w:rFonts w:eastAsia="ＭＳ 明朝"/>
          <w:lang w:val="en-GB" w:eastAsia="ja-JP"/>
        </w:rPr>
        <w:t xml:space="preserve">here is no </w:t>
      </w:r>
      <w:r w:rsidR="007877F8">
        <w:rPr>
          <w:rFonts w:eastAsia="ＭＳ 明朝"/>
          <w:lang w:val="en-GB" w:eastAsia="ja-JP"/>
        </w:rPr>
        <w:t>real deployment that requires</w:t>
      </w:r>
      <w:r w:rsidR="0085758C">
        <w:rPr>
          <w:rFonts w:eastAsia="ＭＳ 明朝"/>
          <w:lang w:val="en-GB" w:eastAsia="ja-JP"/>
        </w:rPr>
        <w:t xml:space="preserve"> PDCCH monitoring </w:t>
      </w:r>
      <w:r w:rsidR="007877F8">
        <w:rPr>
          <w:rFonts w:eastAsia="ＭＳ 明朝"/>
          <w:lang w:val="en-GB" w:eastAsia="ja-JP"/>
        </w:rPr>
        <w:t>in a middle/end of a slot for DSS operation.</w:t>
      </w:r>
    </w:p>
    <w:p w14:paraId="469117B9" w14:textId="77777777" w:rsidR="00C21227" w:rsidRPr="00665F24" w:rsidRDefault="00C21227" w:rsidP="007B7FDF">
      <w:pPr>
        <w:jc w:val="both"/>
        <w:rPr>
          <w:rFonts w:eastAsia="ＭＳ 明朝"/>
          <w:lang w:val="en-GB" w:eastAsia="ja-JP"/>
        </w:rPr>
      </w:pPr>
    </w:p>
    <w:p w14:paraId="4D121A92" w14:textId="358E7172" w:rsidR="00C60121" w:rsidRDefault="00BA011E" w:rsidP="007B7FDF">
      <w:pPr>
        <w:jc w:val="both"/>
        <w:rPr>
          <w:rFonts w:eastAsia="ＭＳ 明朝"/>
          <w:lang w:val="en-GB" w:eastAsia="ja-JP"/>
        </w:rPr>
      </w:pPr>
      <w:r>
        <w:rPr>
          <w:rFonts w:eastAsia="ＭＳ 明朝"/>
          <w:lang w:val="en-GB" w:eastAsia="ja-JP"/>
        </w:rPr>
        <w:t>Based on the discussion above, w</w:t>
      </w:r>
      <w:r w:rsidR="00C60121">
        <w:rPr>
          <w:rFonts w:eastAsia="ＭＳ 明朝"/>
          <w:lang w:val="en-GB" w:eastAsia="ja-JP"/>
        </w:rPr>
        <w:t xml:space="preserve">e propose to clarify </w:t>
      </w:r>
      <w:r w:rsidR="00DD194B">
        <w:rPr>
          <w:rFonts w:eastAsia="ＭＳ 明朝"/>
          <w:lang w:val="en-GB" w:eastAsia="ja-JP"/>
        </w:rPr>
        <w:t xml:space="preserve">for Rel-16 </w:t>
      </w:r>
      <w:r w:rsidR="00C60121">
        <w:rPr>
          <w:rFonts w:eastAsia="ＭＳ 明朝"/>
          <w:lang w:val="en-GB" w:eastAsia="ja-JP"/>
        </w:rPr>
        <w:t xml:space="preserve">that the UE capability </w:t>
      </w:r>
      <w:proofErr w:type="spellStart"/>
      <w:r w:rsidR="00C60121" w:rsidRPr="001F7AAF">
        <w:rPr>
          <w:rFonts w:eastAsia="ＭＳ 明朝"/>
          <w:i/>
          <w:iCs/>
          <w:lang w:val="en-GB" w:eastAsia="ja-JP"/>
        </w:rPr>
        <w:t>pdcch-MonitoringSingleOccasion</w:t>
      </w:r>
      <w:proofErr w:type="spellEnd"/>
      <w:r w:rsidR="00C60121">
        <w:rPr>
          <w:rFonts w:eastAsia="ＭＳ 明朝"/>
          <w:lang w:val="en-GB" w:eastAsia="ja-JP"/>
        </w:rPr>
        <w:t xml:space="preserve"> is </w:t>
      </w:r>
      <w:r w:rsidR="00BC29E8">
        <w:rPr>
          <w:rFonts w:eastAsia="ＭＳ 明朝"/>
          <w:lang w:val="en-GB" w:eastAsia="ja-JP"/>
        </w:rPr>
        <w:t xml:space="preserve">to enable PDCCH monitoring associated with any search space configurations within the same span of </w:t>
      </w:r>
      <w:r w:rsidR="001F7AAF">
        <w:rPr>
          <w:rFonts w:eastAsia="ＭＳ 明朝"/>
          <w:lang w:val="en-GB" w:eastAsia="ja-JP"/>
        </w:rPr>
        <w:t xml:space="preserve">three consecutive OFDM symbols </w:t>
      </w:r>
      <w:r w:rsidR="001F7AAF" w:rsidRPr="00F1349F">
        <w:rPr>
          <w:rFonts w:eastAsia="ＭＳ 明朝"/>
          <w:u w:val="single"/>
          <w:lang w:val="en-GB" w:eastAsia="ja-JP"/>
        </w:rPr>
        <w:t>that are within the first four OFDM symbols of a slot</w:t>
      </w:r>
      <w:r w:rsidR="001F7AAF">
        <w:rPr>
          <w:rFonts w:eastAsia="ＭＳ 明朝"/>
          <w:lang w:val="en-GB" w:eastAsia="ja-JP"/>
        </w:rPr>
        <w:t xml:space="preserve">. </w:t>
      </w:r>
      <w:r w:rsidR="007072AA">
        <w:rPr>
          <w:rFonts w:eastAsia="ＭＳ 明朝"/>
          <w:lang w:val="en-GB" w:eastAsia="ja-JP"/>
        </w:rPr>
        <w:t>The TP to TS 38.306 can be as follows.</w:t>
      </w:r>
    </w:p>
    <w:p w14:paraId="65FCC2E0" w14:textId="2CCCEEE2" w:rsidR="007072AA" w:rsidRDefault="007072AA" w:rsidP="007B7FDF">
      <w:pPr>
        <w:jc w:val="both"/>
        <w:rPr>
          <w:rFonts w:eastAsia="ＭＳ 明朝"/>
          <w:lang w:val="en-GB"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72AA" w:rsidRPr="00E47AAE" w14:paraId="369B2451" w14:textId="77777777" w:rsidTr="0085007F">
        <w:trPr>
          <w:cantSplit/>
          <w:tblHeader/>
        </w:trPr>
        <w:tc>
          <w:tcPr>
            <w:tcW w:w="6917" w:type="dxa"/>
          </w:tcPr>
          <w:p w14:paraId="5F8D3777" w14:textId="77777777" w:rsidR="007072AA" w:rsidRPr="00E47AAE" w:rsidRDefault="007072AA" w:rsidP="0085007F">
            <w:pPr>
              <w:pStyle w:val="TAL"/>
              <w:rPr>
                <w:b/>
                <w:i/>
              </w:rPr>
            </w:pPr>
            <w:proofErr w:type="spellStart"/>
            <w:r w:rsidRPr="00E47AAE">
              <w:rPr>
                <w:b/>
                <w:i/>
              </w:rPr>
              <w:t>pdcch-MonitoringSingleOccasion</w:t>
            </w:r>
            <w:proofErr w:type="spellEnd"/>
          </w:p>
          <w:p w14:paraId="4795CB30" w14:textId="21AD10FD" w:rsidR="007072AA" w:rsidRPr="00E47AAE" w:rsidRDefault="007072AA" w:rsidP="0085007F">
            <w:pPr>
              <w:pStyle w:val="TAL"/>
            </w:pPr>
            <w:r w:rsidRPr="00E47AAE">
              <w:t xml:space="preserve">Indicates whether the UE supports receiving PDCCH in a search space configured to be monitored within a single span of any three contiguous OFDM symbols </w:t>
            </w:r>
            <w:r w:rsidR="00097369" w:rsidRPr="00097369">
              <w:rPr>
                <w:color w:val="FF0000"/>
                <w:u w:val="single"/>
              </w:rPr>
              <w:t xml:space="preserve">that are within the first four OFDM symbols </w:t>
            </w:r>
            <w:r w:rsidRPr="00E47AAE">
              <w:t>in a slot with the capability of supporting at least 44 blind decodes in a slot for 15 kHz subcarrier spacing.</w:t>
            </w:r>
          </w:p>
        </w:tc>
        <w:tc>
          <w:tcPr>
            <w:tcW w:w="709" w:type="dxa"/>
          </w:tcPr>
          <w:p w14:paraId="58A0CD0C" w14:textId="77777777" w:rsidR="007072AA" w:rsidRPr="00E47AAE" w:rsidRDefault="007072AA" w:rsidP="0085007F">
            <w:pPr>
              <w:pStyle w:val="TAL"/>
              <w:jc w:val="center"/>
            </w:pPr>
            <w:r w:rsidRPr="00E47AAE">
              <w:t>UE</w:t>
            </w:r>
          </w:p>
        </w:tc>
        <w:tc>
          <w:tcPr>
            <w:tcW w:w="567" w:type="dxa"/>
          </w:tcPr>
          <w:p w14:paraId="2BE732AE" w14:textId="77777777" w:rsidR="007072AA" w:rsidRPr="00E47AAE" w:rsidRDefault="007072AA" w:rsidP="0085007F">
            <w:pPr>
              <w:pStyle w:val="TAL"/>
              <w:jc w:val="center"/>
            </w:pPr>
            <w:r w:rsidRPr="00E47AAE">
              <w:t>No</w:t>
            </w:r>
          </w:p>
        </w:tc>
        <w:tc>
          <w:tcPr>
            <w:tcW w:w="709" w:type="dxa"/>
          </w:tcPr>
          <w:p w14:paraId="5F901793" w14:textId="77777777" w:rsidR="007072AA" w:rsidRPr="00E47AAE" w:rsidRDefault="007072AA" w:rsidP="0085007F">
            <w:pPr>
              <w:pStyle w:val="TAL"/>
              <w:jc w:val="center"/>
            </w:pPr>
            <w:r w:rsidRPr="00E47AAE">
              <w:t>No</w:t>
            </w:r>
          </w:p>
        </w:tc>
        <w:tc>
          <w:tcPr>
            <w:tcW w:w="728" w:type="dxa"/>
          </w:tcPr>
          <w:p w14:paraId="35E53E7D" w14:textId="77777777" w:rsidR="007072AA" w:rsidRPr="00E47AAE" w:rsidRDefault="007072AA" w:rsidP="0085007F">
            <w:pPr>
              <w:pStyle w:val="TAL"/>
              <w:jc w:val="center"/>
            </w:pPr>
            <w:r w:rsidRPr="00E47AAE">
              <w:t>FR1 only</w:t>
            </w:r>
          </w:p>
        </w:tc>
      </w:tr>
    </w:tbl>
    <w:p w14:paraId="5AEF3F6D" w14:textId="063AFFB4" w:rsidR="008F24FF" w:rsidRDefault="008F24FF" w:rsidP="007B7FDF">
      <w:pPr>
        <w:jc w:val="both"/>
        <w:rPr>
          <w:rFonts w:eastAsia="ＭＳ 明朝"/>
          <w:lang w:val="en-GB" w:eastAsia="ja-JP"/>
        </w:rPr>
      </w:pPr>
    </w:p>
    <w:p w14:paraId="20705929" w14:textId="42362AB0" w:rsidR="00685C48" w:rsidRDefault="0024726F" w:rsidP="007B7FDF">
      <w:pPr>
        <w:jc w:val="both"/>
        <w:rPr>
          <w:rFonts w:eastAsia="ＭＳ 明朝"/>
          <w:lang w:val="en-GB" w:eastAsia="ja-JP"/>
        </w:rPr>
      </w:pPr>
      <w:r w:rsidRPr="00AF4615">
        <w:rPr>
          <w:rFonts w:eastAsia="ＭＳ 明朝" w:hint="eastAsia"/>
          <w:b/>
          <w:bCs/>
          <w:u w:val="single"/>
          <w:lang w:val="en-GB" w:eastAsia="ja-JP"/>
        </w:rPr>
        <w:t>P</w:t>
      </w:r>
      <w:r w:rsidRPr="00AF4615">
        <w:rPr>
          <w:rFonts w:eastAsia="ＭＳ 明朝"/>
          <w:b/>
          <w:bCs/>
          <w:u w:val="single"/>
          <w:lang w:val="en-GB" w:eastAsia="ja-JP"/>
        </w:rPr>
        <w:t>roposal</w:t>
      </w:r>
      <w:r w:rsidR="00F6631E">
        <w:rPr>
          <w:rFonts w:eastAsia="ＭＳ 明朝"/>
          <w:b/>
          <w:bCs/>
          <w:u w:val="single"/>
          <w:lang w:val="en-GB" w:eastAsia="ja-JP"/>
        </w:rPr>
        <w:t>s</w:t>
      </w:r>
      <w:r>
        <w:rPr>
          <w:rFonts w:eastAsia="ＭＳ 明朝"/>
          <w:lang w:val="en-GB" w:eastAsia="ja-JP"/>
        </w:rPr>
        <w:t>:</w:t>
      </w:r>
    </w:p>
    <w:p w14:paraId="55F2E597" w14:textId="6E1BB088" w:rsidR="0024726F" w:rsidRDefault="0024726F" w:rsidP="0024726F">
      <w:pPr>
        <w:pStyle w:val="ListParagraph"/>
        <w:numPr>
          <w:ilvl w:val="0"/>
          <w:numId w:val="40"/>
        </w:numPr>
        <w:ind w:leftChars="0"/>
        <w:jc w:val="both"/>
        <w:rPr>
          <w:rFonts w:eastAsia="ＭＳ 明朝"/>
          <w:lang w:val="en-GB" w:eastAsia="ja-JP"/>
        </w:rPr>
      </w:pPr>
      <w:r>
        <w:rPr>
          <w:rFonts w:eastAsia="ＭＳ 明朝"/>
          <w:lang w:val="en-GB" w:eastAsia="ja-JP"/>
        </w:rPr>
        <w:t xml:space="preserve">Agree to clarify </w:t>
      </w:r>
      <w:r w:rsidR="00DD194B">
        <w:rPr>
          <w:rFonts w:eastAsia="ＭＳ 明朝"/>
          <w:lang w:val="en-GB" w:eastAsia="ja-JP"/>
        </w:rPr>
        <w:t xml:space="preserve">for Rel-16 </w:t>
      </w:r>
      <w:r>
        <w:rPr>
          <w:rFonts w:eastAsia="ＭＳ 明朝"/>
          <w:lang w:val="en-GB" w:eastAsia="ja-JP"/>
        </w:rPr>
        <w:t xml:space="preserve">that the UE capability </w:t>
      </w:r>
      <w:proofErr w:type="spellStart"/>
      <w:r w:rsidRPr="001F7AAF">
        <w:rPr>
          <w:rFonts w:eastAsia="ＭＳ 明朝"/>
          <w:i/>
          <w:iCs/>
          <w:lang w:val="en-GB" w:eastAsia="ja-JP"/>
        </w:rPr>
        <w:t>pdcch-MonitoringSingleOccasion</w:t>
      </w:r>
      <w:proofErr w:type="spellEnd"/>
      <w:r>
        <w:rPr>
          <w:rFonts w:eastAsia="ＭＳ 明朝"/>
          <w:lang w:val="en-GB" w:eastAsia="ja-JP"/>
        </w:rPr>
        <w:t xml:space="preserve"> is to enable PDCCH monitoring associated with any search space configurations within the same span of three consecutive OFDM symbols </w:t>
      </w:r>
      <w:r w:rsidRPr="00F1349F">
        <w:rPr>
          <w:rFonts w:eastAsia="ＭＳ 明朝"/>
          <w:u w:val="single"/>
          <w:lang w:val="en-GB" w:eastAsia="ja-JP"/>
        </w:rPr>
        <w:t>that are within the first four OFDM symbols of a slot</w:t>
      </w:r>
      <w:r w:rsidR="00796233">
        <w:rPr>
          <w:rFonts w:eastAsia="ＭＳ 明朝"/>
          <w:lang w:val="en-GB" w:eastAsia="ja-JP"/>
        </w:rPr>
        <w:t xml:space="preserve"> for 15kHz subcarrier spacing.</w:t>
      </w:r>
    </w:p>
    <w:p w14:paraId="3F3FBEA2" w14:textId="09F09905" w:rsidR="0024726F" w:rsidRDefault="0024726F" w:rsidP="0024726F">
      <w:pPr>
        <w:pStyle w:val="ListParagraph"/>
        <w:numPr>
          <w:ilvl w:val="0"/>
          <w:numId w:val="40"/>
        </w:numPr>
        <w:ind w:leftChars="0"/>
        <w:jc w:val="both"/>
        <w:rPr>
          <w:rFonts w:eastAsia="ＭＳ 明朝"/>
          <w:lang w:val="en-GB" w:eastAsia="ja-JP"/>
        </w:rPr>
      </w:pPr>
      <w:r>
        <w:rPr>
          <w:rFonts w:eastAsia="ＭＳ 明朝" w:hint="eastAsia"/>
          <w:lang w:val="en-GB" w:eastAsia="ja-JP"/>
        </w:rPr>
        <w:t>S</w:t>
      </w:r>
      <w:r>
        <w:rPr>
          <w:rFonts w:eastAsia="ＭＳ 明朝"/>
          <w:lang w:val="en-GB" w:eastAsia="ja-JP"/>
        </w:rPr>
        <w:t>end a</w:t>
      </w:r>
      <w:r w:rsidR="00AF4615">
        <w:rPr>
          <w:rFonts w:eastAsia="ＭＳ 明朝"/>
          <w:lang w:val="en-GB" w:eastAsia="ja-JP"/>
        </w:rPr>
        <w:t xml:space="preserve"> LS to RAN2 to capture the following change to the description of </w:t>
      </w:r>
      <w:proofErr w:type="spellStart"/>
      <w:r w:rsidR="00AF4615" w:rsidRPr="00F6631E">
        <w:rPr>
          <w:rFonts w:eastAsia="ＭＳ 明朝"/>
          <w:i/>
          <w:iCs/>
          <w:lang w:val="en-GB" w:eastAsia="ja-JP"/>
        </w:rPr>
        <w:t>pdcch-MonitoringSingleOccasion</w:t>
      </w:r>
      <w:proofErr w:type="spellEnd"/>
      <w:r w:rsidR="00AF4615">
        <w:rPr>
          <w:rFonts w:eastAsia="ＭＳ 明朝"/>
          <w:lang w:val="en-GB" w:eastAsia="ja-JP"/>
        </w:rPr>
        <w:t xml:space="preserve"> in TS 38.306</w:t>
      </w:r>
      <w:r w:rsidR="00E83C66">
        <w:rPr>
          <w:rFonts w:eastAsia="ＭＳ 明朝"/>
          <w:lang w:val="en-GB" w:eastAsia="ja-JP"/>
        </w:rPr>
        <w:t xml:space="preserve"> for Rel-16</w:t>
      </w:r>
      <w:r w:rsidR="00AF4615">
        <w:rPr>
          <w:rFonts w:eastAsia="ＭＳ 明朝"/>
          <w:lang w:val="en-GB" w:eastAsia="ja-JP"/>
        </w:rPr>
        <w:t>.</w:t>
      </w:r>
    </w:p>
    <w:p w14:paraId="42785F1A" w14:textId="0DDBCA7C" w:rsidR="00AF4615" w:rsidRPr="0024726F" w:rsidRDefault="00AF4615" w:rsidP="00AF4615">
      <w:pPr>
        <w:pStyle w:val="ListParagraph"/>
        <w:numPr>
          <w:ilvl w:val="1"/>
          <w:numId w:val="40"/>
        </w:numPr>
        <w:ind w:leftChars="0"/>
        <w:jc w:val="both"/>
        <w:rPr>
          <w:rFonts w:eastAsia="ＭＳ 明朝"/>
          <w:lang w:val="en-GB" w:eastAsia="ja-JP"/>
        </w:rPr>
      </w:pPr>
      <w:r w:rsidRPr="00E47AAE">
        <w:t xml:space="preserve">Indicates whether the UE supports receiving PDCCH in a search space configured to be monitored within a single span of any three contiguous OFDM symbols </w:t>
      </w:r>
      <w:r w:rsidRPr="00097369">
        <w:rPr>
          <w:color w:val="FF0000"/>
          <w:u w:val="single"/>
        </w:rPr>
        <w:t xml:space="preserve">that are within the first </w:t>
      </w:r>
      <w:r w:rsidRPr="00097369">
        <w:rPr>
          <w:color w:val="FF0000"/>
          <w:u w:val="single"/>
        </w:rPr>
        <w:lastRenderedPageBreak/>
        <w:t xml:space="preserve">four OFDM symbols </w:t>
      </w:r>
      <w:r w:rsidRPr="00E47AAE">
        <w:t>in a slot with the capability of supporting at least 44 blind decodes in a slot for 15 kHz subcarrier spacing.</w:t>
      </w:r>
    </w:p>
    <w:p w14:paraId="4701A9DE" w14:textId="77777777" w:rsidR="006268D7" w:rsidRPr="00F04CBD" w:rsidRDefault="006268D7"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46D3B4A9" w14:textId="6C214267" w:rsidR="00910762" w:rsidRDefault="009C265A" w:rsidP="001650C1">
      <w:pPr>
        <w:jc w:val="both"/>
        <w:rPr>
          <w:lang w:val="en-GB" w:eastAsia="ja-JP"/>
        </w:rPr>
      </w:pPr>
      <w:r>
        <w:rPr>
          <w:rFonts w:hint="eastAsia"/>
          <w:lang w:val="en-GB" w:eastAsia="ja-JP"/>
        </w:rPr>
        <w:t>I</w:t>
      </w:r>
      <w:r>
        <w:rPr>
          <w:lang w:val="en-GB" w:eastAsia="ja-JP"/>
        </w:rPr>
        <w:t>n this contribution, we propose the following:</w:t>
      </w:r>
    </w:p>
    <w:p w14:paraId="7DB943FD" w14:textId="77777777" w:rsidR="009C265A" w:rsidRDefault="009C265A" w:rsidP="001650C1">
      <w:pPr>
        <w:jc w:val="both"/>
        <w:rPr>
          <w:lang w:val="en-GB" w:eastAsia="ja-JP"/>
        </w:rPr>
      </w:pPr>
    </w:p>
    <w:p w14:paraId="2937F665" w14:textId="33108C56" w:rsidR="009C265A" w:rsidRDefault="009C265A" w:rsidP="009C265A">
      <w:pPr>
        <w:jc w:val="both"/>
        <w:rPr>
          <w:rFonts w:eastAsia="ＭＳ 明朝"/>
          <w:lang w:val="en-GB" w:eastAsia="ja-JP"/>
        </w:rPr>
      </w:pPr>
      <w:r w:rsidRPr="00AF4615">
        <w:rPr>
          <w:rFonts w:eastAsia="ＭＳ 明朝" w:hint="eastAsia"/>
          <w:b/>
          <w:bCs/>
          <w:u w:val="single"/>
          <w:lang w:val="en-GB" w:eastAsia="ja-JP"/>
        </w:rPr>
        <w:t>P</w:t>
      </w:r>
      <w:r w:rsidRPr="00AF4615">
        <w:rPr>
          <w:rFonts w:eastAsia="ＭＳ 明朝"/>
          <w:b/>
          <w:bCs/>
          <w:u w:val="single"/>
          <w:lang w:val="en-GB" w:eastAsia="ja-JP"/>
        </w:rPr>
        <w:t>roposal</w:t>
      </w:r>
      <w:r w:rsidR="00F6631E">
        <w:rPr>
          <w:rFonts w:eastAsia="ＭＳ 明朝"/>
          <w:b/>
          <w:bCs/>
          <w:u w:val="single"/>
          <w:lang w:val="en-GB" w:eastAsia="ja-JP"/>
        </w:rPr>
        <w:t>s</w:t>
      </w:r>
      <w:r>
        <w:rPr>
          <w:rFonts w:eastAsia="ＭＳ 明朝"/>
          <w:lang w:val="en-GB" w:eastAsia="ja-JP"/>
        </w:rPr>
        <w:t>:</w:t>
      </w:r>
    </w:p>
    <w:p w14:paraId="1770AB71" w14:textId="0B568263" w:rsidR="00796233" w:rsidRDefault="00796233" w:rsidP="00796233">
      <w:pPr>
        <w:pStyle w:val="ListParagraph"/>
        <w:numPr>
          <w:ilvl w:val="0"/>
          <w:numId w:val="40"/>
        </w:numPr>
        <w:ind w:leftChars="0"/>
        <w:jc w:val="both"/>
        <w:rPr>
          <w:rFonts w:eastAsia="ＭＳ 明朝"/>
          <w:lang w:val="en-GB" w:eastAsia="ja-JP"/>
        </w:rPr>
      </w:pPr>
      <w:r>
        <w:rPr>
          <w:rFonts w:eastAsia="ＭＳ 明朝"/>
          <w:lang w:val="en-GB" w:eastAsia="ja-JP"/>
        </w:rPr>
        <w:t>Agree to clarify</w:t>
      </w:r>
      <w:r w:rsidR="00DD194B">
        <w:rPr>
          <w:rFonts w:eastAsia="ＭＳ 明朝"/>
          <w:lang w:val="en-GB" w:eastAsia="ja-JP"/>
        </w:rPr>
        <w:t xml:space="preserve"> for Rel-16</w:t>
      </w:r>
      <w:r>
        <w:rPr>
          <w:rFonts w:eastAsia="ＭＳ 明朝"/>
          <w:lang w:val="en-GB" w:eastAsia="ja-JP"/>
        </w:rPr>
        <w:t xml:space="preserve"> that the UE capability </w:t>
      </w:r>
      <w:proofErr w:type="spellStart"/>
      <w:r w:rsidRPr="001F7AAF">
        <w:rPr>
          <w:rFonts w:eastAsia="ＭＳ 明朝"/>
          <w:i/>
          <w:iCs/>
          <w:lang w:val="en-GB" w:eastAsia="ja-JP"/>
        </w:rPr>
        <w:t>pdcch-MonitoringSingleOccasion</w:t>
      </w:r>
      <w:proofErr w:type="spellEnd"/>
      <w:r>
        <w:rPr>
          <w:rFonts w:eastAsia="ＭＳ 明朝"/>
          <w:lang w:val="en-GB" w:eastAsia="ja-JP"/>
        </w:rPr>
        <w:t xml:space="preserve"> is to enable PDCCH monitoring associated with any search space configurations within the same span of three consecutive OFDM symbols </w:t>
      </w:r>
      <w:r w:rsidRPr="00F1349F">
        <w:rPr>
          <w:rFonts w:eastAsia="ＭＳ 明朝"/>
          <w:u w:val="single"/>
          <w:lang w:val="en-GB" w:eastAsia="ja-JP"/>
        </w:rPr>
        <w:t>that are within the first four OFDM symbols of a slot</w:t>
      </w:r>
      <w:r>
        <w:rPr>
          <w:rFonts w:eastAsia="ＭＳ 明朝"/>
          <w:lang w:val="en-GB" w:eastAsia="ja-JP"/>
        </w:rPr>
        <w:t xml:space="preserve"> for 15kHz subcarrier spacing.</w:t>
      </w:r>
    </w:p>
    <w:p w14:paraId="50312862" w14:textId="3B4313EE" w:rsidR="009C265A" w:rsidRDefault="009C265A" w:rsidP="009C265A">
      <w:pPr>
        <w:pStyle w:val="ListParagraph"/>
        <w:numPr>
          <w:ilvl w:val="0"/>
          <w:numId w:val="40"/>
        </w:numPr>
        <w:ind w:leftChars="0"/>
        <w:jc w:val="both"/>
        <w:rPr>
          <w:rFonts w:eastAsia="ＭＳ 明朝"/>
          <w:lang w:val="en-GB" w:eastAsia="ja-JP"/>
        </w:rPr>
      </w:pPr>
      <w:r>
        <w:rPr>
          <w:rFonts w:eastAsia="ＭＳ 明朝" w:hint="eastAsia"/>
          <w:lang w:val="en-GB" w:eastAsia="ja-JP"/>
        </w:rPr>
        <w:t>S</w:t>
      </w:r>
      <w:r>
        <w:rPr>
          <w:rFonts w:eastAsia="ＭＳ 明朝"/>
          <w:lang w:val="en-GB" w:eastAsia="ja-JP"/>
        </w:rPr>
        <w:t xml:space="preserve">end a LS to RAN2 to capture the following change to the description of </w:t>
      </w:r>
      <w:proofErr w:type="spellStart"/>
      <w:r w:rsidRPr="00BD2F40">
        <w:rPr>
          <w:rFonts w:eastAsia="ＭＳ 明朝"/>
          <w:i/>
          <w:iCs/>
          <w:lang w:val="en-GB" w:eastAsia="ja-JP"/>
        </w:rPr>
        <w:t>pdcch-MonitoringSingleOccasion</w:t>
      </w:r>
      <w:proofErr w:type="spellEnd"/>
      <w:r>
        <w:rPr>
          <w:rFonts w:eastAsia="ＭＳ 明朝"/>
          <w:lang w:val="en-GB" w:eastAsia="ja-JP"/>
        </w:rPr>
        <w:t xml:space="preserve"> in TS 38.306</w:t>
      </w:r>
      <w:r w:rsidR="00E83C66">
        <w:rPr>
          <w:rFonts w:eastAsia="ＭＳ 明朝"/>
          <w:lang w:val="en-GB" w:eastAsia="ja-JP"/>
        </w:rPr>
        <w:t xml:space="preserve"> for Rel-16</w:t>
      </w:r>
      <w:r>
        <w:rPr>
          <w:rFonts w:eastAsia="ＭＳ 明朝"/>
          <w:lang w:val="en-GB" w:eastAsia="ja-JP"/>
        </w:rPr>
        <w:t>.</w:t>
      </w:r>
    </w:p>
    <w:p w14:paraId="08E71D82" w14:textId="77777777" w:rsidR="009C265A" w:rsidRPr="0024726F" w:rsidRDefault="009C265A" w:rsidP="009C265A">
      <w:pPr>
        <w:pStyle w:val="ListParagraph"/>
        <w:numPr>
          <w:ilvl w:val="1"/>
          <w:numId w:val="40"/>
        </w:numPr>
        <w:ind w:leftChars="0"/>
        <w:jc w:val="both"/>
        <w:rPr>
          <w:rFonts w:eastAsia="ＭＳ 明朝"/>
          <w:lang w:val="en-GB" w:eastAsia="ja-JP"/>
        </w:rPr>
      </w:pPr>
      <w:r w:rsidRPr="00E47AAE">
        <w:t xml:space="preserve">Indicates whether the UE supports receiving PDCCH in a search space configured to be monitored within a single span of any three contiguous OFDM symbols </w:t>
      </w:r>
      <w:r w:rsidRPr="00097369">
        <w:rPr>
          <w:color w:val="FF0000"/>
          <w:u w:val="single"/>
        </w:rPr>
        <w:t xml:space="preserve">that are within the first four OFDM symbols </w:t>
      </w:r>
      <w:r w:rsidRPr="00E47AAE">
        <w:t>in a slot with the capability of supporting at least 44 blind decodes in a slot for 15 kHz subcarrier spacing.</w:t>
      </w:r>
    </w:p>
    <w:p w14:paraId="74A75344" w14:textId="77777777" w:rsidR="009C265A" w:rsidRPr="00680C15" w:rsidRDefault="009C265A"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7C5D9122" w14:textId="044AFE43" w:rsidR="001E254D" w:rsidRDefault="006268D7" w:rsidP="001650C1">
      <w:pPr>
        <w:pStyle w:val="ListParagraph"/>
        <w:numPr>
          <w:ilvl w:val="0"/>
          <w:numId w:val="6"/>
        </w:numPr>
        <w:ind w:leftChars="0"/>
        <w:jc w:val="both"/>
        <w:rPr>
          <w:lang w:eastAsia="ja-JP"/>
        </w:rPr>
      </w:pPr>
      <w:r>
        <w:rPr>
          <w:rFonts w:hint="eastAsia"/>
          <w:lang w:eastAsia="ja-JP"/>
        </w:rPr>
        <w:t>3</w:t>
      </w:r>
      <w:r>
        <w:rPr>
          <w:lang w:eastAsia="ja-JP"/>
        </w:rPr>
        <w:t>GPP TS 38.306.</w:t>
      </w:r>
    </w:p>
    <w:p w14:paraId="4C09052B" w14:textId="77777777" w:rsidR="006268D7" w:rsidRPr="00407069" w:rsidRDefault="006268D7" w:rsidP="006268D7">
      <w:pPr>
        <w:jc w:val="both"/>
        <w:rPr>
          <w:lang w:eastAsia="ja-JP"/>
        </w:rPr>
      </w:pPr>
    </w:p>
    <w:sectPr w:rsidR="006268D7"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CF398" w14:textId="77777777" w:rsidR="00F24A8A" w:rsidRDefault="00F24A8A" w:rsidP="00C36A51">
      <w:pPr>
        <w:spacing w:line="240" w:lineRule="auto"/>
      </w:pPr>
      <w:r>
        <w:separator/>
      </w:r>
    </w:p>
  </w:endnote>
  <w:endnote w:type="continuationSeparator" w:id="0">
    <w:p w14:paraId="5B636887" w14:textId="77777777" w:rsidR="00F24A8A" w:rsidRDefault="00F24A8A" w:rsidP="00C36A51">
      <w:pPr>
        <w:spacing w:line="240" w:lineRule="auto"/>
      </w:pPr>
      <w:r>
        <w:continuationSeparator/>
      </w:r>
    </w:p>
  </w:endnote>
  <w:endnote w:type="continuationNotice" w:id="1">
    <w:p w14:paraId="1BAF1F66" w14:textId="77777777" w:rsidR="00F24A8A" w:rsidRDefault="00F24A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7091" w14:textId="77777777" w:rsidR="00F24A8A" w:rsidRDefault="00F24A8A" w:rsidP="00C36A51">
      <w:pPr>
        <w:spacing w:line="240" w:lineRule="auto"/>
      </w:pPr>
      <w:r>
        <w:separator/>
      </w:r>
    </w:p>
  </w:footnote>
  <w:footnote w:type="continuationSeparator" w:id="0">
    <w:p w14:paraId="4C0E401E" w14:textId="77777777" w:rsidR="00F24A8A" w:rsidRDefault="00F24A8A" w:rsidP="00C36A51">
      <w:pPr>
        <w:spacing w:line="240" w:lineRule="auto"/>
      </w:pPr>
      <w:r>
        <w:continuationSeparator/>
      </w:r>
    </w:p>
  </w:footnote>
  <w:footnote w:type="continuationNotice" w:id="1">
    <w:p w14:paraId="01F8E530" w14:textId="77777777" w:rsidR="00F24A8A" w:rsidRDefault="00F24A8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63712C"/>
    <w:multiLevelType w:val="hybridMultilevel"/>
    <w:tmpl w:val="B098435C"/>
    <w:lvl w:ilvl="0" w:tplc="46440860">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540E57"/>
    <w:multiLevelType w:val="hybridMultilevel"/>
    <w:tmpl w:val="AEF8DFB8"/>
    <w:lvl w:ilvl="0" w:tplc="9DE62FC2">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277011"/>
    <w:multiLevelType w:val="hybridMultilevel"/>
    <w:tmpl w:val="230AB068"/>
    <w:lvl w:ilvl="0" w:tplc="FA38FD5C">
      <w:start w:val="1"/>
      <w:numFmt w:val="bullet"/>
      <w:lvlText w:val="•"/>
      <w:lvlJc w:val="left"/>
      <w:pPr>
        <w:tabs>
          <w:tab w:val="num" w:pos="360"/>
        </w:tabs>
        <w:ind w:left="360" w:hanging="360"/>
      </w:pPr>
      <w:rPr>
        <w:rFonts w:ascii="Arial" w:hAnsi="Arial" w:cs="Times New Roman" w:hint="default"/>
      </w:rPr>
    </w:lvl>
    <w:lvl w:ilvl="1" w:tplc="5C7678B2">
      <w:numFmt w:val="bullet"/>
      <w:lvlText w:val="•"/>
      <w:lvlJc w:val="left"/>
      <w:pPr>
        <w:tabs>
          <w:tab w:val="num" w:pos="1080"/>
        </w:tabs>
        <w:ind w:left="1080" w:hanging="360"/>
      </w:pPr>
      <w:rPr>
        <w:rFonts w:ascii="Arial" w:hAnsi="Arial" w:cs="Times New Roman" w:hint="default"/>
      </w:rPr>
    </w:lvl>
    <w:lvl w:ilvl="2" w:tplc="E9EA5986">
      <w:numFmt w:val="bullet"/>
      <w:lvlText w:val="•"/>
      <w:lvlJc w:val="left"/>
      <w:pPr>
        <w:tabs>
          <w:tab w:val="num" w:pos="1800"/>
        </w:tabs>
        <w:ind w:left="1800" w:hanging="360"/>
      </w:pPr>
      <w:rPr>
        <w:rFonts w:ascii="Arial" w:hAnsi="Arial" w:cs="Times New Roman" w:hint="default"/>
      </w:rPr>
    </w:lvl>
    <w:lvl w:ilvl="3" w:tplc="EFA63648">
      <w:numFmt w:val="bullet"/>
      <w:lvlText w:val="•"/>
      <w:lvlJc w:val="left"/>
      <w:pPr>
        <w:tabs>
          <w:tab w:val="num" w:pos="2520"/>
        </w:tabs>
        <w:ind w:left="2520" w:hanging="360"/>
      </w:pPr>
      <w:rPr>
        <w:rFonts w:ascii="Arial" w:hAnsi="Arial" w:cs="Times New Roman" w:hint="default"/>
      </w:rPr>
    </w:lvl>
    <w:lvl w:ilvl="4" w:tplc="B3FEA9D0">
      <w:start w:val="1"/>
      <w:numFmt w:val="bullet"/>
      <w:lvlText w:val="•"/>
      <w:lvlJc w:val="left"/>
      <w:pPr>
        <w:tabs>
          <w:tab w:val="num" w:pos="3240"/>
        </w:tabs>
        <w:ind w:left="3240" w:hanging="360"/>
      </w:pPr>
      <w:rPr>
        <w:rFonts w:ascii="Arial" w:hAnsi="Arial" w:cs="Times New Roman" w:hint="default"/>
      </w:rPr>
    </w:lvl>
    <w:lvl w:ilvl="5" w:tplc="0524ADD4">
      <w:start w:val="1"/>
      <w:numFmt w:val="bullet"/>
      <w:lvlText w:val="•"/>
      <w:lvlJc w:val="left"/>
      <w:pPr>
        <w:tabs>
          <w:tab w:val="num" w:pos="3960"/>
        </w:tabs>
        <w:ind w:left="3960" w:hanging="360"/>
      </w:pPr>
      <w:rPr>
        <w:rFonts w:ascii="Arial" w:hAnsi="Arial" w:cs="Times New Roman" w:hint="default"/>
      </w:rPr>
    </w:lvl>
    <w:lvl w:ilvl="6" w:tplc="289E9590">
      <w:start w:val="1"/>
      <w:numFmt w:val="bullet"/>
      <w:lvlText w:val="•"/>
      <w:lvlJc w:val="left"/>
      <w:pPr>
        <w:tabs>
          <w:tab w:val="num" w:pos="4680"/>
        </w:tabs>
        <w:ind w:left="4680" w:hanging="360"/>
      </w:pPr>
      <w:rPr>
        <w:rFonts w:ascii="Arial" w:hAnsi="Arial" w:cs="Times New Roman" w:hint="default"/>
      </w:rPr>
    </w:lvl>
    <w:lvl w:ilvl="7" w:tplc="2FC646D4">
      <w:start w:val="1"/>
      <w:numFmt w:val="bullet"/>
      <w:lvlText w:val="•"/>
      <w:lvlJc w:val="left"/>
      <w:pPr>
        <w:tabs>
          <w:tab w:val="num" w:pos="5400"/>
        </w:tabs>
        <w:ind w:left="5400" w:hanging="360"/>
      </w:pPr>
      <w:rPr>
        <w:rFonts w:ascii="Arial" w:hAnsi="Arial" w:cs="Times New Roman" w:hint="default"/>
      </w:rPr>
    </w:lvl>
    <w:lvl w:ilvl="8" w:tplc="9DF40988">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21"/>
  </w:num>
  <w:num w:numId="3">
    <w:abstractNumId w:val="18"/>
  </w:num>
  <w:num w:numId="4">
    <w:abstractNumId w:val="31"/>
  </w:num>
  <w:num w:numId="5">
    <w:abstractNumId w:val="32"/>
  </w:num>
  <w:num w:numId="6">
    <w:abstractNumId w:val="24"/>
  </w:num>
  <w:num w:numId="7">
    <w:abstractNumId w:val="20"/>
  </w:num>
  <w:num w:numId="8">
    <w:abstractNumId w:val="7"/>
  </w:num>
  <w:num w:numId="9">
    <w:abstractNumId w:val="27"/>
  </w:num>
  <w:num w:numId="10">
    <w:abstractNumId w:val="28"/>
  </w:num>
  <w:num w:numId="11">
    <w:abstractNumId w:val="10"/>
  </w:num>
  <w:num w:numId="12">
    <w:abstractNumId w:val="6"/>
  </w:num>
  <w:num w:numId="13">
    <w:abstractNumId w:val="16"/>
  </w:num>
  <w:num w:numId="14">
    <w:abstractNumId w:val="5"/>
  </w:num>
  <w:num w:numId="15">
    <w:abstractNumId w:val="38"/>
  </w:num>
  <w:num w:numId="16">
    <w:abstractNumId w:val="26"/>
  </w:num>
  <w:num w:numId="17">
    <w:abstractNumId w:val="36"/>
  </w:num>
  <w:num w:numId="18">
    <w:abstractNumId w:val="3"/>
  </w:num>
  <w:num w:numId="19">
    <w:abstractNumId w:val="1"/>
  </w:num>
  <w:num w:numId="20">
    <w:abstractNumId w:val="34"/>
  </w:num>
  <w:num w:numId="21">
    <w:abstractNumId w:val="22"/>
  </w:num>
  <w:num w:numId="22">
    <w:abstractNumId w:val="19"/>
  </w:num>
  <w:num w:numId="23">
    <w:abstractNumId w:val="13"/>
  </w:num>
  <w:num w:numId="24">
    <w:abstractNumId w:val="2"/>
  </w:num>
  <w:num w:numId="25">
    <w:abstractNumId w:val="35"/>
  </w:num>
  <w:num w:numId="26">
    <w:abstractNumId w:val="40"/>
  </w:num>
  <w:num w:numId="27">
    <w:abstractNumId w:val="0"/>
  </w:num>
  <w:num w:numId="28">
    <w:abstractNumId w:val="4"/>
  </w:num>
  <w:num w:numId="29">
    <w:abstractNumId w:val="25"/>
  </w:num>
  <w:num w:numId="30">
    <w:abstractNumId w:val="12"/>
  </w:num>
  <w:num w:numId="31">
    <w:abstractNumId w:val="37"/>
  </w:num>
  <w:num w:numId="32">
    <w:abstractNumId w:val="11"/>
  </w:num>
  <w:num w:numId="33">
    <w:abstractNumId w:val="15"/>
  </w:num>
  <w:num w:numId="34">
    <w:abstractNumId w:val="14"/>
  </w:num>
  <w:num w:numId="35">
    <w:abstractNumId w:val="33"/>
  </w:num>
  <w:num w:numId="36">
    <w:abstractNumId w:val="39"/>
  </w:num>
  <w:num w:numId="37">
    <w:abstractNumId w:val="23"/>
  </w:num>
  <w:num w:numId="38">
    <w:abstractNumId w:val="29"/>
  </w:num>
  <w:num w:numId="39">
    <w:abstractNumId w:val="30"/>
  </w:num>
  <w:num w:numId="40">
    <w:abstractNumId w:val="9"/>
  </w:num>
  <w:num w:numId="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69"/>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4564"/>
    <w:rsid w:val="000E4AD2"/>
    <w:rsid w:val="000E5480"/>
    <w:rsid w:val="000E57D1"/>
    <w:rsid w:val="000E699F"/>
    <w:rsid w:val="000E6EA3"/>
    <w:rsid w:val="000F0334"/>
    <w:rsid w:val="000F1204"/>
    <w:rsid w:val="000F120F"/>
    <w:rsid w:val="000F14CB"/>
    <w:rsid w:val="000F1841"/>
    <w:rsid w:val="000F243A"/>
    <w:rsid w:val="000F24D8"/>
    <w:rsid w:val="000F25AD"/>
    <w:rsid w:val="000F25B6"/>
    <w:rsid w:val="000F398F"/>
    <w:rsid w:val="000F3A47"/>
    <w:rsid w:val="000F46F1"/>
    <w:rsid w:val="000F490C"/>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1BC"/>
    <w:rsid w:val="001A0317"/>
    <w:rsid w:val="001A086B"/>
    <w:rsid w:val="001A10CE"/>
    <w:rsid w:val="001A1322"/>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284"/>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1F7AAF"/>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3DF"/>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26F"/>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E87"/>
    <w:rsid w:val="00264F9B"/>
    <w:rsid w:val="0026506A"/>
    <w:rsid w:val="00265573"/>
    <w:rsid w:val="002665DD"/>
    <w:rsid w:val="00266C26"/>
    <w:rsid w:val="0026717C"/>
    <w:rsid w:val="00270112"/>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B12"/>
    <w:rsid w:val="002B1F05"/>
    <w:rsid w:val="002B210F"/>
    <w:rsid w:val="002B3C81"/>
    <w:rsid w:val="002B4621"/>
    <w:rsid w:val="002B4748"/>
    <w:rsid w:val="002B4D25"/>
    <w:rsid w:val="002B4DF8"/>
    <w:rsid w:val="002B6011"/>
    <w:rsid w:val="002B601A"/>
    <w:rsid w:val="002B7001"/>
    <w:rsid w:val="002B75D0"/>
    <w:rsid w:val="002B78C9"/>
    <w:rsid w:val="002B7BE1"/>
    <w:rsid w:val="002C1009"/>
    <w:rsid w:val="002C155D"/>
    <w:rsid w:val="002C17F7"/>
    <w:rsid w:val="002C3164"/>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E05"/>
    <w:rsid w:val="002E0993"/>
    <w:rsid w:val="002E109A"/>
    <w:rsid w:val="002E1B38"/>
    <w:rsid w:val="002E1EE5"/>
    <w:rsid w:val="002E1F7A"/>
    <w:rsid w:val="002E2775"/>
    <w:rsid w:val="002E37E3"/>
    <w:rsid w:val="002E3914"/>
    <w:rsid w:val="002E582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6C9"/>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92C"/>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5F6E"/>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D78"/>
    <w:rsid w:val="003B0E2B"/>
    <w:rsid w:val="003B1BD7"/>
    <w:rsid w:val="003B243F"/>
    <w:rsid w:val="003B29A7"/>
    <w:rsid w:val="003B3619"/>
    <w:rsid w:val="003B4090"/>
    <w:rsid w:val="003B4802"/>
    <w:rsid w:val="003B49BB"/>
    <w:rsid w:val="003B4EF0"/>
    <w:rsid w:val="003B579F"/>
    <w:rsid w:val="003B5C48"/>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D7C16"/>
    <w:rsid w:val="003E068C"/>
    <w:rsid w:val="003E0D59"/>
    <w:rsid w:val="003E12E9"/>
    <w:rsid w:val="003E1643"/>
    <w:rsid w:val="003E16D5"/>
    <w:rsid w:val="003E2148"/>
    <w:rsid w:val="003E2A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680"/>
    <w:rsid w:val="003F0854"/>
    <w:rsid w:val="003F096C"/>
    <w:rsid w:val="003F0A9E"/>
    <w:rsid w:val="003F16B9"/>
    <w:rsid w:val="003F1D1B"/>
    <w:rsid w:val="003F2107"/>
    <w:rsid w:val="003F23B0"/>
    <w:rsid w:val="003F2962"/>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0AB"/>
    <w:rsid w:val="0040335F"/>
    <w:rsid w:val="004047C6"/>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B76"/>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74E"/>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4649"/>
    <w:rsid w:val="004D475B"/>
    <w:rsid w:val="004D48EA"/>
    <w:rsid w:val="004D5747"/>
    <w:rsid w:val="004D5749"/>
    <w:rsid w:val="004D67BC"/>
    <w:rsid w:val="004D6FCA"/>
    <w:rsid w:val="004D7458"/>
    <w:rsid w:val="004D749C"/>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73"/>
    <w:rsid w:val="005005F4"/>
    <w:rsid w:val="00501323"/>
    <w:rsid w:val="0050201E"/>
    <w:rsid w:val="0050250E"/>
    <w:rsid w:val="00502F2C"/>
    <w:rsid w:val="0050329A"/>
    <w:rsid w:val="00503781"/>
    <w:rsid w:val="00503D9A"/>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397"/>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27FCD"/>
    <w:rsid w:val="005303EE"/>
    <w:rsid w:val="00530CD2"/>
    <w:rsid w:val="00531179"/>
    <w:rsid w:val="005315A5"/>
    <w:rsid w:val="005315E8"/>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E95"/>
    <w:rsid w:val="00537F6B"/>
    <w:rsid w:val="005401C5"/>
    <w:rsid w:val="005406BA"/>
    <w:rsid w:val="005406D1"/>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3DA"/>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4112"/>
    <w:rsid w:val="005B41FB"/>
    <w:rsid w:val="005B478F"/>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7C3"/>
    <w:rsid w:val="0060005C"/>
    <w:rsid w:val="00600471"/>
    <w:rsid w:val="00600480"/>
    <w:rsid w:val="0060069F"/>
    <w:rsid w:val="00600A1E"/>
    <w:rsid w:val="00600C08"/>
    <w:rsid w:val="006014B0"/>
    <w:rsid w:val="006014B8"/>
    <w:rsid w:val="00601E26"/>
    <w:rsid w:val="006023D8"/>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18F9"/>
    <w:rsid w:val="00622D02"/>
    <w:rsid w:val="00623ADC"/>
    <w:rsid w:val="00624095"/>
    <w:rsid w:val="006243E1"/>
    <w:rsid w:val="00624D2B"/>
    <w:rsid w:val="006250BB"/>
    <w:rsid w:val="006257AB"/>
    <w:rsid w:val="00626712"/>
    <w:rsid w:val="00626876"/>
    <w:rsid w:val="006268D7"/>
    <w:rsid w:val="00627BAE"/>
    <w:rsid w:val="006301E0"/>
    <w:rsid w:val="00630479"/>
    <w:rsid w:val="00630490"/>
    <w:rsid w:val="00630F80"/>
    <w:rsid w:val="006314DD"/>
    <w:rsid w:val="006318DD"/>
    <w:rsid w:val="00632045"/>
    <w:rsid w:val="00632343"/>
    <w:rsid w:val="006323A7"/>
    <w:rsid w:val="00632466"/>
    <w:rsid w:val="0063327A"/>
    <w:rsid w:val="00633399"/>
    <w:rsid w:val="00633E3B"/>
    <w:rsid w:val="00634668"/>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5F24"/>
    <w:rsid w:val="0066629F"/>
    <w:rsid w:val="0066644B"/>
    <w:rsid w:val="0066656D"/>
    <w:rsid w:val="006665A3"/>
    <w:rsid w:val="00666BA9"/>
    <w:rsid w:val="00666BEC"/>
    <w:rsid w:val="006676F1"/>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5C48"/>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57E6"/>
    <w:rsid w:val="006A6B3B"/>
    <w:rsid w:val="006A74DA"/>
    <w:rsid w:val="006B0FC5"/>
    <w:rsid w:val="006B2395"/>
    <w:rsid w:val="006B28BA"/>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3D3"/>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2AA"/>
    <w:rsid w:val="00707563"/>
    <w:rsid w:val="0071025C"/>
    <w:rsid w:val="00710D94"/>
    <w:rsid w:val="00711561"/>
    <w:rsid w:val="007116BA"/>
    <w:rsid w:val="00711F65"/>
    <w:rsid w:val="00712096"/>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6EA"/>
    <w:rsid w:val="00730E81"/>
    <w:rsid w:val="00731526"/>
    <w:rsid w:val="007352ED"/>
    <w:rsid w:val="0073576A"/>
    <w:rsid w:val="00735814"/>
    <w:rsid w:val="0073588B"/>
    <w:rsid w:val="00735A13"/>
    <w:rsid w:val="00735E46"/>
    <w:rsid w:val="00735FD4"/>
    <w:rsid w:val="007365AB"/>
    <w:rsid w:val="00737371"/>
    <w:rsid w:val="007374AB"/>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8B3"/>
    <w:rsid w:val="00775B65"/>
    <w:rsid w:val="00775DB0"/>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7F8"/>
    <w:rsid w:val="00787839"/>
    <w:rsid w:val="00791FA6"/>
    <w:rsid w:val="00792DF6"/>
    <w:rsid w:val="00793957"/>
    <w:rsid w:val="00793C49"/>
    <w:rsid w:val="007942D4"/>
    <w:rsid w:val="00794398"/>
    <w:rsid w:val="00794B8E"/>
    <w:rsid w:val="00795892"/>
    <w:rsid w:val="00795BA4"/>
    <w:rsid w:val="00795E63"/>
    <w:rsid w:val="00796233"/>
    <w:rsid w:val="007962BA"/>
    <w:rsid w:val="007968BE"/>
    <w:rsid w:val="00796917"/>
    <w:rsid w:val="0079701B"/>
    <w:rsid w:val="00797AAB"/>
    <w:rsid w:val="00797F97"/>
    <w:rsid w:val="007A0590"/>
    <w:rsid w:val="007A0CF4"/>
    <w:rsid w:val="007A0D55"/>
    <w:rsid w:val="007A22A4"/>
    <w:rsid w:val="007A30CE"/>
    <w:rsid w:val="007A32B4"/>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974"/>
    <w:rsid w:val="00802A79"/>
    <w:rsid w:val="00802BE2"/>
    <w:rsid w:val="00802D60"/>
    <w:rsid w:val="00802D95"/>
    <w:rsid w:val="00803325"/>
    <w:rsid w:val="00804060"/>
    <w:rsid w:val="008049BF"/>
    <w:rsid w:val="00804D94"/>
    <w:rsid w:val="00804EF6"/>
    <w:rsid w:val="00805753"/>
    <w:rsid w:val="00805AEA"/>
    <w:rsid w:val="00805D74"/>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58C"/>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AE1"/>
    <w:rsid w:val="00892EE8"/>
    <w:rsid w:val="00893528"/>
    <w:rsid w:val="0089382D"/>
    <w:rsid w:val="00893D78"/>
    <w:rsid w:val="00894A7A"/>
    <w:rsid w:val="00894DAA"/>
    <w:rsid w:val="00894F37"/>
    <w:rsid w:val="00895236"/>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DD"/>
    <w:rsid w:val="008F145C"/>
    <w:rsid w:val="008F24FF"/>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5F0"/>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0563"/>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9FB"/>
    <w:rsid w:val="00945C80"/>
    <w:rsid w:val="009460A8"/>
    <w:rsid w:val="00946679"/>
    <w:rsid w:val="00946889"/>
    <w:rsid w:val="00950D63"/>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727"/>
    <w:rsid w:val="00986E03"/>
    <w:rsid w:val="0098702E"/>
    <w:rsid w:val="00987661"/>
    <w:rsid w:val="00987804"/>
    <w:rsid w:val="00987C1A"/>
    <w:rsid w:val="00987F84"/>
    <w:rsid w:val="00990279"/>
    <w:rsid w:val="00990446"/>
    <w:rsid w:val="0099131A"/>
    <w:rsid w:val="0099136F"/>
    <w:rsid w:val="0099152B"/>
    <w:rsid w:val="0099155C"/>
    <w:rsid w:val="009920B0"/>
    <w:rsid w:val="00992188"/>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65A"/>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5"/>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5197"/>
    <w:rsid w:val="009E51EB"/>
    <w:rsid w:val="009E55A3"/>
    <w:rsid w:val="009E569C"/>
    <w:rsid w:val="009E65C9"/>
    <w:rsid w:val="009E68E0"/>
    <w:rsid w:val="009E69CF"/>
    <w:rsid w:val="009F071A"/>
    <w:rsid w:val="009F18B6"/>
    <w:rsid w:val="009F2805"/>
    <w:rsid w:val="009F3865"/>
    <w:rsid w:val="009F3BB8"/>
    <w:rsid w:val="009F6AEF"/>
    <w:rsid w:val="00A00427"/>
    <w:rsid w:val="00A01D1D"/>
    <w:rsid w:val="00A0251A"/>
    <w:rsid w:val="00A02EDF"/>
    <w:rsid w:val="00A0339E"/>
    <w:rsid w:val="00A039F1"/>
    <w:rsid w:val="00A03A0C"/>
    <w:rsid w:val="00A04988"/>
    <w:rsid w:val="00A06B63"/>
    <w:rsid w:val="00A06F32"/>
    <w:rsid w:val="00A07934"/>
    <w:rsid w:val="00A07E00"/>
    <w:rsid w:val="00A103B7"/>
    <w:rsid w:val="00A10EB8"/>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0B0"/>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4A76"/>
    <w:rsid w:val="00A35198"/>
    <w:rsid w:val="00A35C58"/>
    <w:rsid w:val="00A378CE"/>
    <w:rsid w:val="00A401BC"/>
    <w:rsid w:val="00A40CE8"/>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0A7"/>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1A4"/>
    <w:rsid w:val="00AF06C1"/>
    <w:rsid w:val="00AF0CF9"/>
    <w:rsid w:val="00AF1179"/>
    <w:rsid w:val="00AF203E"/>
    <w:rsid w:val="00AF2227"/>
    <w:rsid w:val="00AF2385"/>
    <w:rsid w:val="00AF2FF1"/>
    <w:rsid w:val="00AF33B1"/>
    <w:rsid w:val="00AF4615"/>
    <w:rsid w:val="00AF4C23"/>
    <w:rsid w:val="00AF55C3"/>
    <w:rsid w:val="00AF5701"/>
    <w:rsid w:val="00AF5ABB"/>
    <w:rsid w:val="00AF5E91"/>
    <w:rsid w:val="00AF6888"/>
    <w:rsid w:val="00AF7812"/>
    <w:rsid w:val="00B009F5"/>
    <w:rsid w:val="00B00A62"/>
    <w:rsid w:val="00B012F6"/>
    <w:rsid w:val="00B023F1"/>
    <w:rsid w:val="00B02CAB"/>
    <w:rsid w:val="00B02D2E"/>
    <w:rsid w:val="00B03702"/>
    <w:rsid w:val="00B03A3A"/>
    <w:rsid w:val="00B03D7F"/>
    <w:rsid w:val="00B03EE0"/>
    <w:rsid w:val="00B046E9"/>
    <w:rsid w:val="00B053F6"/>
    <w:rsid w:val="00B05C1C"/>
    <w:rsid w:val="00B05D89"/>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59BD"/>
    <w:rsid w:val="00B15AF9"/>
    <w:rsid w:val="00B163A1"/>
    <w:rsid w:val="00B164AE"/>
    <w:rsid w:val="00B16849"/>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4A1"/>
    <w:rsid w:val="00B36FBC"/>
    <w:rsid w:val="00B37938"/>
    <w:rsid w:val="00B37A28"/>
    <w:rsid w:val="00B37A7C"/>
    <w:rsid w:val="00B37DA3"/>
    <w:rsid w:val="00B406B4"/>
    <w:rsid w:val="00B40A80"/>
    <w:rsid w:val="00B416BF"/>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AEE"/>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BB"/>
    <w:rsid w:val="00BA011E"/>
    <w:rsid w:val="00BA02F9"/>
    <w:rsid w:val="00BA0762"/>
    <w:rsid w:val="00BA0B28"/>
    <w:rsid w:val="00BA0E47"/>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630A"/>
    <w:rsid w:val="00BB7582"/>
    <w:rsid w:val="00BB7938"/>
    <w:rsid w:val="00BB7A56"/>
    <w:rsid w:val="00BB7FCD"/>
    <w:rsid w:val="00BC0081"/>
    <w:rsid w:val="00BC0B60"/>
    <w:rsid w:val="00BC0CA0"/>
    <w:rsid w:val="00BC12E5"/>
    <w:rsid w:val="00BC14AD"/>
    <w:rsid w:val="00BC1A65"/>
    <w:rsid w:val="00BC1D7C"/>
    <w:rsid w:val="00BC2238"/>
    <w:rsid w:val="00BC29E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2F40"/>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67AB"/>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69A7"/>
    <w:rsid w:val="00C07375"/>
    <w:rsid w:val="00C07EBD"/>
    <w:rsid w:val="00C10063"/>
    <w:rsid w:val="00C103F7"/>
    <w:rsid w:val="00C10803"/>
    <w:rsid w:val="00C10912"/>
    <w:rsid w:val="00C10AF7"/>
    <w:rsid w:val="00C1184F"/>
    <w:rsid w:val="00C12399"/>
    <w:rsid w:val="00C1257E"/>
    <w:rsid w:val="00C12BD4"/>
    <w:rsid w:val="00C13084"/>
    <w:rsid w:val="00C1322D"/>
    <w:rsid w:val="00C134AC"/>
    <w:rsid w:val="00C135A1"/>
    <w:rsid w:val="00C13C36"/>
    <w:rsid w:val="00C13DDF"/>
    <w:rsid w:val="00C1404E"/>
    <w:rsid w:val="00C14DE4"/>
    <w:rsid w:val="00C15809"/>
    <w:rsid w:val="00C15A62"/>
    <w:rsid w:val="00C1751F"/>
    <w:rsid w:val="00C20236"/>
    <w:rsid w:val="00C21227"/>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5E3"/>
    <w:rsid w:val="00C34C06"/>
    <w:rsid w:val="00C35009"/>
    <w:rsid w:val="00C35432"/>
    <w:rsid w:val="00C356C7"/>
    <w:rsid w:val="00C36952"/>
    <w:rsid w:val="00C36A51"/>
    <w:rsid w:val="00C377FE"/>
    <w:rsid w:val="00C37A89"/>
    <w:rsid w:val="00C402BC"/>
    <w:rsid w:val="00C40C65"/>
    <w:rsid w:val="00C40E18"/>
    <w:rsid w:val="00C40F2D"/>
    <w:rsid w:val="00C41819"/>
    <w:rsid w:val="00C422B0"/>
    <w:rsid w:val="00C42808"/>
    <w:rsid w:val="00C42996"/>
    <w:rsid w:val="00C431FE"/>
    <w:rsid w:val="00C43D80"/>
    <w:rsid w:val="00C43D84"/>
    <w:rsid w:val="00C4427A"/>
    <w:rsid w:val="00C4476D"/>
    <w:rsid w:val="00C4519A"/>
    <w:rsid w:val="00C455C4"/>
    <w:rsid w:val="00C45CB8"/>
    <w:rsid w:val="00C45F30"/>
    <w:rsid w:val="00C4610E"/>
    <w:rsid w:val="00C4745E"/>
    <w:rsid w:val="00C476FC"/>
    <w:rsid w:val="00C478BF"/>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121"/>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81"/>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673"/>
    <w:rsid w:val="00CE5AEA"/>
    <w:rsid w:val="00CE6ACF"/>
    <w:rsid w:val="00CE6E3C"/>
    <w:rsid w:val="00CE7F86"/>
    <w:rsid w:val="00CF08E1"/>
    <w:rsid w:val="00CF191B"/>
    <w:rsid w:val="00CF2175"/>
    <w:rsid w:val="00CF3769"/>
    <w:rsid w:val="00CF3E44"/>
    <w:rsid w:val="00CF3E66"/>
    <w:rsid w:val="00CF4007"/>
    <w:rsid w:val="00CF4102"/>
    <w:rsid w:val="00CF5617"/>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2C22"/>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6A69"/>
    <w:rsid w:val="00DC73A1"/>
    <w:rsid w:val="00DC7564"/>
    <w:rsid w:val="00DC7EBE"/>
    <w:rsid w:val="00DD00EA"/>
    <w:rsid w:val="00DD03B5"/>
    <w:rsid w:val="00DD0B0E"/>
    <w:rsid w:val="00DD100B"/>
    <w:rsid w:val="00DD1055"/>
    <w:rsid w:val="00DD122B"/>
    <w:rsid w:val="00DD1328"/>
    <w:rsid w:val="00DD132C"/>
    <w:rsid w:val="00DD173A"/>
    <w:rsid w:val="00DD194B"/>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27"/>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48B9"/>
    <w:rsid w:val="00E557F7"/>
    <w:rsid w:val="00E55AA2"/>
    <w:rsid w:val="00E5625D"/>
    <w:rsid w:val="00E56594"/>
    <w:rsid w:val="00E57E35"/>
    <w:rsid w:val="00E57EBB"/>
    <w:rsid w:val="00E600F1"/>
    <w:rsid w:val="00E6027B"/>
    <w:rsid w:val="00E604FA"/>
    <w:rsid w:val="00E6103A"/>
    <w:rsid w:val="00E61331"/>
    <w:rsid w:val="00E615F1"/>
    <w:rsid w:val="00E61B4F"/>
    <w:rsid w:val="00E6269B"/>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808BA"/>
    <w:rsid w:val="00E80BEE"/>
    <w:rsid w:val="00E8193C"/>
    <w:rsid w:val="00E81BBF"/>
    <w:rsid w:val="00E82927"/>
    <w:rsid w:val="00E82BD9"/>
    <w:rsid w:val="00E82D79"/>
    <w:rsid w:val="00E83A25"/>
    <w:rsid w:val="00E83B8E"/>
    <w:rsid w:val="00E83C66"/>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6E8"/>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49F"/>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A8A"/>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2B7"/>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31E"/>
    <w:rsid w:val="00F666EB"/>
    <w:rsid w:val="00F66B06"/>
    <w:rsid w:val="00F66F6A"/>
    <w:rsid w:val="00F679E9"/>
    <w:rsid w:val="00F67A7F"/>
    <w:rsid w:val="00F716D7"/>
    <w:rsid w:val="00F716F2"/>
    <w:rsid w:val="00F7181F"/>
    <w:rsid w:val="00F71A3A"/>
    <w:rsid w:val="00F71ED6"/>
    <w:rsid w:val="00F71FB8"/>
    <w:rsid w:val="00F72477"/>
    <w:rsid w:val="00F72C70"/>
    <w:rsid w:val="00F72E43"/>
    <w:rsid w:val="00F73143"/>
    <w:rsid w:val="00F73F6E"/>
    <w:rsid w:val="00F744E7"/>
    <w:rsid w:val="00F75687"/>
    <w:rsid w:val="00F756A1"/>
    <w:rsid w:val="00F75A5B"/>
    <w:rsid w:val="00F75CA7"/>
    <w:rsid w:val="00F75D13"/>
    <w:rsid w:val="00F76ECB"/>
    <w:rsid w:val="00F77149"/>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1E78"/>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customStyle="1" w:styleId="TAL">
    <w:name w:val="TAL"/>
    <w:basedOn w:val="Normal"/>
    <w:link w:val="TALCar"/>
    <w:qFormat/>
    <w:rsid w:val="00A210B0"/>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210B0"/>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7890418">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2</TotalTime>
  <Pages>3</Pages>
  <Words>780</Words>
  <Characters>4451</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Qualcomm</cp:lastModifiedBy>
  <cp:revision>2</cp:revision>
  <dcterms:created xsi:type="dcterms:W3CDTF">2022-02-13T23:53:00Z</dcterms:created>
  <dcterms:modified xsi:type="dcterms:W3CDTF">2022-02-13T23:53:00Z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